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AA2" w:rsidRPr="00AA7392" w:rsidRDefault="00287A36" w:rsidP="0040609C">
      <w:pPr>
        <w:spacing w:after="0" w:line="240" w:lineRule="auto"/>
        <w:jc w:val="center"/>
        <w:rPr>
          <w:rFonts w:asciiTheme="minorHAnsi" w:hAnsiTheme="minorHAnsi" w:cstheme="minorHAnsi"/>
          <w:b/>
          <w:sz w:val="36"/>
          <w:szCs w:val="36"/>
        </w:rPr>
      </w:pPr>
      <w:r w:rsidRPr="001F158C">
        <w:rPr>
          <w:rFonts w:asciiTheme="minorHAnsi" w:hAnsiTheme="minorHAnsi" w:cstheme="minorHAnsi"/>
          <w:b/>
          <w:noProof/>
        </w:rPr>
        <w:drawing>
          <wp:anchor distT="0" distB="0" distL="114300" distR="114300" simplePos="0" relativeHeight="251660288" behindDoc="1" locked="0" layoutInCell="1" allowOverlap="1" wp14:anchorId="531A48D0" wp14:editId="32683AAA">
            <wp:simplePos x="0" y="0"/>
            <wp:positionH relativeFrom="margin">
              <wp:posOffset>-152400</wp:posOffset>
            </wp:positionH>
            <wp:positionV relativeFrom="margin">
              <wp:posOffset>-199390</wp:posOffset>
            </wp:positionV>
            <wp:extent cx="1066800" cy="1066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r w:rsidR="003821DF" w:rsidRPr="003821DF">
        <w:rPr>
          <w:rFonts w:asciiTheme="minorHAnsi" w:hAnsiTheme="minorHAnsi" w:cstheme="minorHAnsi"/>
          <w:b/>
          <w:sz w:val="36"/>
          <w:szCs w:val="36"/>
        </w:rPr>
        <w:t>Regional Healthcare Partnership</w:t>
      </w:r>
      <w:r w:rsidR="003821DF">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396243" w:rsidRPr="00AA7392">
        <w:rPr>
          <w:rFonts w:asciiTheme="minorHAnsi" w:hAnsiTheme="minorHAnsi" w:cstheme="minorHAnsi"/>
          <w:b/>
          <w:sz w:val="36"/>
          <w:szCs w:val="36"/>
        </w:rPr>
        <w:t xml:space="preserve"> </w:t>
      </w:r>
    </w:p>
    <w:p w:rsidR="000C3F5E" w:rsidRPr="00FC1AB4" w:rsidRDefault="00287A36" w:rsidP="0040609C">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Bi-Weekly Conference Call</w:t>
      </w:r>
    </w:p>
    <w:p w:rsidR="00396243" w:rsidRPr="00FC1AB4" w:rsidRDefault="00287A36" w:rsidP="00CD577F">
      <w:pPr>
        <w:spacing w:after="0" w:line="240" w:lineRule="auto"/>
        <w:jc w:val="center"/>
        <w:rPr>
          <w:rFonts w:asciiTheme="minorHAnsi" w:hAnsiTheme="minorHAnsi" w:cstheme="minorHAnsi"/>
          <w:b/>
          <w:sz w:val="28"/>
          <w:szCs w:val="28"/>
        </w:rPr>
      </w:pPr>
      <w:proofErr w:type="gramStart"/>
      <w:r>
        <w:rPr>
          <w:rFonts w:asciiTheme="minorHAnsi" w:hAnsiTheme="minorHAnsi" w:cstheme="minorHAnsi"/>
          <w:b/>
          <w:sz w:val="28"/>
          <w:szCs w:val="28"/>
        </w:rPr>
        <w:t>Tuesday</w:t>
      </w:r>
      <w:r w:rsidR="00CD577F" w:rsidRPr="00FC1AB4">
        <w:rPr>
          <w:rFonts w:asciiTheme="minorHAnsi" w:hAnsiTheme="minorHAnsi" w:cstheme="minorHAnsi"/>
          <w:b/>
          <w:sz w:val="28"/>
          <w:szCs w:val="28"/>
        </w:rPr>
        <w:t xml:space="preserve">, </w:t>
      </w:r>
      <w:r w:rsidR="007C180A">
        <w:rPr>
          <w:rFonts w:asciiTheme="minorHAnsi" w:hAnsiTheme="minorHAnsi" w:cstheme="minorHAnsi"/>
          <w:b/>
          <w:sz w:val="28"/>
          <w:szCs w:val="28"/>
        </w:rPr>
        <w:t xml:space="preserve">May </w:t>
      </w:r>
      <w:r w:rsidR="00587485">
        <w:rPr>
          <w:rFonts w:asciiTheme="minorHAnsi" w:hAnsiTheme="minorHAnsi" w:cstheme="minorHAnsi"/>
          <w:b/>
          <w:sz w:val="28"/>
          <w:szCs w:val="28"/>
        </w:rPr>
        <w:t>27</w:t>
      </w:r>
      <w:r w:rsidR="00CD577F" w:rsidRPr="00FC1AB4">
        <w:rPr>
          <w:rFonts w:asciiTheme="minorHAnsi" w:hAnsiTheme="minorHAnsi" w:cstheme="minorHAnsi"/>
          <w:b/>
          <w:sz w:val="28"/>
          <w:szCs w:val="28"/>
        </w:rPr>
        <w:t>, 201</w:t>
      </w:r>
      <w:r w:rsidR="009F039E">
        <w:rPr>
          <w:rFonts w:asciiTheme="minorHAnsi" w:hAnsiTheme="minorHAnsi" w:cstheme="minorHAnsi"/>
          <w:b/>
          <w:sz w:val="28"/>
          <w:szCs w:val="28"/>
        </w:rPr>
        <w:t>4</w:t>
      </w:r>
      <w:r w:rsidR="00FC1AB4" w:rsidRPr="00FC1AB4">
        <w:rPr>
          <w:rFonts w:asciiTheme="minorHAnsi" w:hAnsiTheme="minorHAnsi" w:cstheme="minorHAnsi"/>
          <w:b/>
          <w:sz w:val="28"/>
          <w:szCs w:val="28"/>
        </w:rPr>
        <w:t xml:space="preserve"> </w:t>
      </w:r>
      <w:r w:rsidR="00FC1AB4" w:rsidRPr="00FC1AB4">
        <w:rPr>
          <w:rFonts w:cs="Calibri"/>
          <w:b/>
          <w:sz w:val="28"/>
          <w:szCs w:val="28"/>
        </w:rPr>
        <w:t>•</w:t>
      </w:r>
      <w:r w:rsidR="00FC1AB4" w:rsidRPr="00FC1AB4">
        <w:rPr>
          <w:b/>
          <w:sz w:val="28"/>
          <w:szCs w:val="28"/>
        </w:rPr>
        <w:t xml:space="preserve"> 9:</w:t>
      </w:r>
      <w:r>
        <w:rPr>
          <w:b/>
          <w:sz w:val="28"/>
          <w:szCs w:val="28"/>
        </w:rPr>
        <w:t>0</w:t>
      </w:r>
      <w:r w:rsidR="007F0780">
        <w:rPr>
          <w:b/>
          <w:sz w:val="28"/>
          <w:szCs w:val="28"/>
        </w:rPr>
        <w:t>0 a.m. – 10</w:t>
      </w:r>
      <w:r w:rsidR="00FC1AB4" w:rsidRPr="00FC1AB4">
        <w:rPr>
          <w:b/>
          <w:sz w:val="28"/>
          <w:szCs w:val="28"/>
        </w:rPr>
        <w:t>:</w:t>
      </w:r>
      <w:r>
        <w:rPr>
          <w:b/>
          <w:sz w:val="28"/>
          <w:szCs w:val="28"/>
        </w:rPr>
        <w:t>0</w:t>
      </w:r>
      <w:r w:rsidR="00FC1AB4" w:rsidRPr="00FC1AB4">
        <w:rPr>
          <w:b/>
          <w:sz w:val="28"/>
          <w:szCs w:val="28"/>
        </w:rPr>
        <w:t>0 a.m.</w:t>
      </w:r>
      <w:proofErr w:type="gramEnd"/>
    </w:p>
    <w:p w:rsidR="00287A36" w:rsidRPr="00287A36" w:rsidRDefault="00287A36" w:rsidP="00287A36">
      <w:pPr>
        <w:pStyle w:val="BodyText"/>
        <w:jc w:val="center"/>
        <w:rPr>
          <w:sz w:val="24"/>
          <w:szCs w:val="24"/>
        </w:rPr>
      </w:pPr>
      <w:r w:rsidRPr="00287A36">
        <w:rPr>
          <w:sz w:val="24"/>
          <w:szCs w:val="24"/>
        </w:rPr>
        <w:t>Phone Number: 877-931-8150</w:t>
      </w:r>
      <w:r>
        <w:rPr>
          <w:sz w:val="24"/>
          <w:szCs w:val="24"/>
        </w:rPr>
        <w:t xml:space="preserve"> </w:t>
      </w:r>
      <w:r w:rsidRPr="00FC1AB4">
        <w:rPr>
          <w:rFonts w:cs="Calibri"/>
          <w:b/>
          <w:sz w:val="28"/>
          <w:szCs w:val="28"/>
        </w:rPr>
        <w:t>•</w:t>
      </w:r>
      <w:r w:rsidRPr="00287A36">
        <w:rPr>
          <w:sz w:val="24"/>
          <w:szCs w:val="24"/>
        </w:rPr>
        <w:t xml:space="preserve"> Participant P</w:t>
      </w:r>
      <w:r>
        <w:rPr>
          <w:sz w:val="24"/>
          <w:szCs w:val="24"/>
        </w:rPr>
        <w:t>asscode</w:t>
      </w:r>
      <w:r w:rsidRPr="00287A36">
        <w:rPr>
          <w:sz w:val="24"/>
          <w:szCs w:val="24"/>
        </w:rPr>
        <w:t>: 1624814</w:t>
      </w:r>
    </w:p>
    <w:p w:rsidR="00CD577F" w:rsidRPr="00AA7392" w:rsidRDefault="00BE3D77" w:rsidP="00287A36">
      <w:pPr>
        <w:spacing w:after="0" w:line="240" w:lineRule="auto"/>
        <w:jc w:val="center"/>
        <w:rPr>
          <w:rFonts w:asciiTheme="minorHAnsi" w:hAnsiTheme="minorHAnsi" w:cstheme="minorHAnsi"/>
          <w:b/>
          <w:sz w:val="28"/>
          <w:szCs w:val="28"/>
        </w:rPr>
      </w:pPr>
      <w:r w:rsidRPr="00AA7392">
        <w:rPr>
          <w:rFonts w:asciiTheme="minorHAnsi" w:hAnsiTheme="minorHAnsi" w:cstheme="minorHAnsi"/>
          <w:b/>
          <w:noProof/>
          <w:sz w:val="28"/>
          <w:szCs w:val="28"/>
        </w:rPr>
        <mc:AlternateContent>
          <mc:Choice Requires="wps">
            <w:drawing>
              <wp:anchor distT="0" distB="0" distL="114300" distR="114300" simplePos="0" relativeHeight="251658240" behindDoc="0" locked="0" layoutInCell="1" allowOverlap="1" wp14:anchorId="5CFEE876" wp14:editId="3A28CBFD">
                <wp:simplePos x="0" y="0"/>
                <wp:positionH relativeFrom="column">
                  <wp:posOffset>-19050</wp:posOffset>
                </wp:positionH>
                <wp:positionV relativeFrom="paragraph">
                  <wp:posOffset>167640</wp:posOffset>
                </wp:positionV>
                <wp:extent cx="603885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158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5pt;margin-top:13.2pt;width:4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" strokeweight="1.25pt"/>
            </w:pict>
          </mc:Fallback>
        </mc:AlternateContent>
      </w:r>
    </w:p>
    <w:p w:rsidR="006C552A" w:rsidRPr="00332A1F" w:rsidRDefault="006C552A" w:rsidP="006C552A">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W w:w="10278" w:type="dxa"/>
        <w:tblLook w:val="04A0" w:firstRow="1" w:lastRow="0" w:firstColumn="1" w:lastColumn="0" w:noHBand="0" w:noVBand="1"/>
      </w:tblPr>
      <w:tblGrid>
        <w:gridCol w:w="2540"/>
        <w:gridCol w:w="1708"/>
        <w:gridCol w:w="450"/>
        <w:gridCol w:w="2790"/>
        <w:gridCol w:w="2790"/>
      </w:tblGrid>
      <w:tr w:rsidR="006C552A" w:rsidRPr="00FB646F" w:rsidTr="00796002">
        <w:tc>
          <w:tcPr>
            <w:tcW w:w="2540" w:type="dxa"/>
          </w:tcPr>
          <w:p w:rsidR="006C552A" w:rsidRPr="00FB646F" w:rsidRDefault="006C552A" w:rsidP="00796002">
            <w:pPr>
              <w:spacing w:after="0" w:line="240" w:lineRule="auto"/>
              <w:rPr>
                <w:rFonts w:asciiTheme="minorHAnsi" w:hAnsiTheme="minorHAnsi"/>
                <w:b/>
                <w:sz w:val="21"/>
                <w:szCs w:val="21"/>
              </w:rPr>
            </w:pPr>
            <w:r w:rsidRPr="00FB646F">
              <w:rPr>
                <w:rFonts w:asciiTheme="minorHAnsi" w:hAnsiTheme="minorHAnsi"/>
                <w:b/>
                <w:sz w:val="21"/>
                <w:szCs w:val="21"/>
              </w:rPr>
              <w:t>Organization</w:t>
            </w:r>
          </w:p>
        </w:tc>
        <w:tc>
          <w:tcPr>
            <w:tcW w:w="1708" w:type="dxa"/>
          </w:tcPr>
          <w:p w:rsidR="006C552A" w:rsidRPr="00FB646F" w:rsidRDefault="006C552A" w:rsidP="00796002">
            <w:pPr>
              <w:spacing w:after="0" w:line="240" w:lineRule="auto"/>
              <w:rPr>
                <w:rFonts w:asciiTheme="minorHAnsi" w:hAnsiTheme="minorHAnsi"/>
                <w:b/>
                <w:sz w:val="21"/>
                <w:szCs w:val="21"/>
              </w:rPr>
            </w:pPr>
            <w:r w:rsidRPr="00FB646F">
              <w:rPr>
                <w:rFonts w:asciiTheme="minorHAnsi" w:hAnsiTheme="minorHAnsi"/>
                <w:b/>
                <w:sz w:val="21"/>
                <w:szCs w:val="21"/>
              </w:rPr>
              <w:t>Name</w:t>
            </w:r>
          </w:p>
        </w:tc>
        <w:tc>
          <w:tcPr>
            <w:tcW w:w="450" w:type="dxa"/>
            <w:vMerge w:val="restart"/>
          </w:tcPr>
          <w:p w:rsidR="006C552A" w:rsidRPr="00FB646F" w:rsidRDefault="006C552A" w:rsidP="00796002">
            <w:pPr>
              <w:spacing w:after="0" w:line="240" w:lineRule="auto"/>
              <w:rPr>
                <w:rFonts w:asciiTheme="minorHAnsi" w:hAnsiTheme="minorHAnsi"/>
                <w:b/>
                <w:sz w:val="21"/>
                <w:szCs w:val="21"/>
                <w:highlight w:val="lightGray"/>
              </w:rPr>
            </w:pPr>
          </w:p>
        </w:tc>
        <w:tc>
          <w:tcPr>
            <w:tcW w:w="2790" w:type="dxa"/>
          </w:tcPr>
          <w:p w:rsidR="006C552A" w:rsidRPr="00FB646F" w:rsidRDefault="006C552A" w:rsidP="00796002">
            <w:pPr>
              <w:spacing w:after="0" w:line="240" w:lineRule="auto"/>
              <w:rPr>
                <w:rFonts w:asciiTheme="minorHAnsi" w:hAnsiTheme="minorHAnsi"/>
                <w:b/>
                <w:sz w:val="21"/>
                <w:szCs w:val="21"/>
              </w:rPr>
            </w:pPr>
            <w:r w:rsidRPr="00FB646F">
              <w:rPr>
                <w:rFonts w:asciiTheme="minorHAnsi" w:hAnsiTheme="minorHAnsi"/>
                <w:b/>
                <w:sz w:val="21"/>
                <w:szCs w:val="21"/>
              </w:rPr>
              <w:t>Organization</w:t>
            </w:r>
          </w:p>
        </w:tc>
        <w:tc>
          <w:tcPr>
            <w:tcW w:w="2790" w:type="dxa"/>
          </w:tcPr>
          <w:p w:rsidR="006C552A" w:rsidRPr="00FB646F" w:rsidRDefault="006C552A" w:rsidP="00796002">
            <w:pPr>
              <w:spacing w:after="0" w:line="240" w:lineRule="auto"/>
              <w:rPr>
                <w:rFonts w:asciiTheme="minorHAnsi" w:hAnsiTheme="minorHAnsi"/>
                <w:b/>
                <w:sz w:val="21"/>
                <w:szCs w:val="21"/>
              </w:rPr>
            </w:pPr>
            <w:r w:rsidRPr="00FB646F">
              <w:rPr>
                <w:rFonts w:asciiTheme="minorHAnsi" w:hAnsiTheme="minorHAnsi"/>
                <w:b/>
                <w:sz w:val="21"/>
                <w:szCs w:val="21"/>
              </w:rPr>
              <w:t>Name</w:t>
            </w:r>
          </w:p>
        </w:tc>
      </w:tr>
      <w:tr w:rsidR="006C552A" w:rsidRPr="00FB646F" w:rsidTr="00E3516D">
        <w:trPr>
          <w:trHeight w:val="523"/>
        </w:trPr>
        <w:tc>
          <w:tcPr>
            <w:tcW w:w="2540"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Bell County Public Health District</w:t>
            </w:r>
          </w:p>
        </w:tc>
        <w:tc>
          <w:tcPr>
            <w:tcW w:w="1708" w:type="dxa"/>
          </w:tcPr>
          <w:p w:rsidR="006C552A"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Renee Stewart</w:t>
            </w:r>
          </w:p>
          <w:p w:rsidR="00A34608" w:rsidRPr="00FB646F" w:rsidRDefault="00A34608" w:rsidP="00796002">
            <w:pPr>
              <w:spacing w:after="0" w:line="240" w:lineRule="auto"/>
              <w:rPr>
                <w:rFonts w:asciiTheme="minorHAnsi" w:hAnsiTheme="minorHAnsi"/>
                <w:sz w:val="21"/>
                <w:szCs w:val="21"/>
              </w:rPr>
            </w:pPr>
            <w:r>
              <w:rPr>
                <w:rFonts w:asciiTheme="minorHAnsi" w:hAnsiTheme="minorHAnsi"/>
                <w:sz w:val="21"/>
                <w:szCs w:val="21"/>
              </w:rPr>
              <w:t>Bonnie Scurzi</w:t>
            </w:r>
          </w:p>
        </w:tc>
        <w:tc>
          <w:tcPr>
            <w:tcW w:w="450" w:type="dxa"/>
            <w:vMerge/>
          </w:tcPr>
          <w:p w:rsidR="006C552A" w:rsidRPr="00FB646F" w:rsidRDefault="006C552A" w:rsidP="00796002">
            <w:pPr>
              <w:spacing w:after="0" w:line="240" w:lineRule="auto"/>
              <w:rPr>
                <w:rFonts w:asciiTheme="minorHAnsi" w:hAnsiTheme="minorHAnsi"/>
                <w:sz w:val="21"/>
                <w:szCs w:val="21"/>
                <w:highlight w:val="lightGray"/>
              </w:rPr>
            </w:pPr>
          </w:p>
        </w:tc>
        <w:tc>
          <w:tcPr>
            <w:tcW w:w="2790" w:type="dxa"/>
          </w:tcPr>
          <w:p w:rsidR="006C552A" w:rsidRPr="00FB646F" w:rsidRDefault="006C552A" w:rsidP="006C552A">
            <w:pPr>
              <w:spacing w:after="0" w:line="240" w:lineRule="auto"/>
              <w:rPr>
                <w:rFonts w:asciiTheme="minorHAnsi" w:hAnsiTheme="minorHAnsi"/>
                <w:sz w:val="21"/>
                <w:szCs w:val="21"/>
              </w:rPr>
            </w:pPr>
            <w:r w:rsidRPr="00FB646F">
              <w:rPr>
                <w:rFonts w:asciiTheme="minorHAnsi" w:hAnsiTheme="minorHAnsi"/>
                <w:sz w:val="21"/>
                <w:szCs w:val="21"/>
              </w:rPr>
              <w:t xml:space="preserve">Seton </w:t>
            </w:r>
          </w:p>
        </w:tc>
        <w:tc>
          <w:tcPr>
            <w:tcW w:w="2790" w:type="dxa"/>
          </w:tcPr>
          <w:p w:rsidR="006C552A" w:rsidRPr="00FB646F" w:rsidRDefault="006C552A" w:rsidP="00796002">
            <w:pPr>
              <w:spacing w:after="0" w:line="240" w:lineRule="auto"/>
              <w:rPr>
                <w:rFonts w:asciiTheme="minorHAnsi" w:hAnsiTheme="minorHAnsi"/>
                <w:sz w:val="21"/>
                <w:szCs w:val="21"/>
              </w:rPr>
            </w:pPr>
            <w:r>
              <w:rPr>
                <w:rFonts w:asciiTheme="minorHAnsi" w:hAnsiTheme="minorHAnsi"/>
                <w:sz w:val="21"/>
                <w:szCs w:val="21"/>
              </w:rPr>
              <w:t xml:space="preserve">Melanie </w:t>
            </w:r>
            <w:proofErr w:type="spellStart"/>
            <w:r>
              <w:rPr>
                <w:rFonts w:asciiTheme="minorHAnsi" w:hAnsiTheme="minorHAnsi"/>
                <w:sz w:val="21"/>
                <w:szCs w:val="21"/>
              </w:rPr>
              <w:t>Diello</w:t>
            </w:r>
            <w:proofErr w:type="spellEnd"/>
          </w:p>
        </w:tc>
      </w:tr>
      <w:tr w:rsidR="001271BF" w:rsidRPr="00FB646F" w:rsidTr="00FF26A0">
        <w:trPr>
          <w:trHeight w:val="266"/>
        </w:trPr>
        <w:tc>
          <w:tcPr>
            <w:tcW w:w="2540" w:type="dxa"/>
            <w:vMerge w:val="restart"/>
            <w:tcBorders>
              <w:bottom w:val="single" w:sz="4" w:space="0" w:color="auto"/>
            </w:tcBorders>
          </w:tcPr>
          <w:p w:rsidR="001271BF" w:rsidRPr="00FB646F" w:rsidRDefault="001271BF" w:rsidP="00796002">
            <w:pPr>
              <w:spacing w:after="0" w:line="240" w:lineRule="auto"/>
              <w:rPr>
                <w:rFonts w:asciiTheme="minorHAnsi" w:hAnsiTheme="minorHAnsi"/>
                <w:sz w:val="21"/>
                <w:szCs w:val="21"/>
              </w:rPr>
            </w:pPr>
            <w:r w:rsidRPr="00FB646F">
              <w:rPr>
                <w:rFonts w:asciiTheme="minorHAnsi" w:hAnsiTheme="minorHAnsi"/>
                <w:sz w:val="21"/>
                <w:szCs w:val="21"/>
              </w:rPr>
              <w:t>Bluebonnet Trails</w:t>
            </w:r>
          </w:p>
        </w:tc>
        <w:tc>
          <w:tcPr>
            <w:tcW w:w="1708" w:type="dxa"/>
            <w:vMerge w:val="restart"/>
            <w:tcBorders>
              <w:bottom w:val="single" w:sz="4" w:space="0" w:color="auto"/>
            </w:tcBorders>
          </w:tcPr>
          <w:p w:rsidR="001271BF" w:rsidRPr="00FB646F" w:rsidRDefault="00A61E1E" w:rsidP="00796002">
            <w:pPr>
              <w:spacing w:after="0" w:line="240" w:lineRule="auto"/>
              <w:rPr>
                <w:rFonts w:asciiTheme="minorHAnsi" w:hAnsiTheme="minorHAnsi"/>
                <w:sz w:val="21"/>
                <w:szCs w:val="21"/>
              </w:rPr>
            </w:pPr>
            <w:r>
              <w:rPr>
                <w:rFonts w:asciiTheme="minorHAnsi" w:hAnsiTheme="minorHAnsi"/>
                <w:sz w:val="21"/>
                <w:szCs w:val="21"/>
              </w:rPr>
              <w:t>N/A</w:t>
            </w:r>
            <w:r w:rsidR="001271BF" w:rsidRPr="00FB646F">
              <w:rPr>
                <w:rFonts w:asciiTheme="minorHAnsi" w:hAnsiTheme="minorHAnsi"/>
                <w:sz w:val="21"/>
                <w:szCs w:val="21"/>
              </w:rPr>
              <w:t xml:space="preserve">                           </w:t>
            </w:r>
          </w:p>
        </w:tc>
        <w:tc>
          <w:tcPr>
            <w:tcW w:w="450" w:type="dxa"/>
            <w:vMerge/>
            <w:tcBorders>
              <w:bottom w:val="single" w:sz="4" w:space="0" w:color="auto"/>
            </w:tcBorders>
          </w:tcPr>
          <w:p w:rsidR="001271BF" w:rsidRPr="00FB646F" w:rsidRDefault="001271BF" w:rsidP="00796002">
            <w:pPr>
              <w:spacing w:after="0" w:line="240" w:lineRule="auto"/>
              <w:rPr>
                <w:rFonts w:asciiTheme="minorHAnsi" w:hAnsiTheme="minorHAnsi"/>
                <w:sz w:val="21"/>
                <w:szCs w:val="21"/>
                <w:highlight w:val="lightGray"/>
              </w:rPr>
            </w:pPr>
          </w:p>
        </w:tc>
        <w:tc>
          <w:tcPr>
            <w:tcW w:w="2790" w:type="dxa"/>
            <w:tcBorders>
              <w:bottom w:val="single" w:sz="4" w:space="0" w:color="auto"/>
            </w:tcBorders>
          </w:tcPr>
          <w:p w:rsidR="001271BF" w:rsidRPr="00FB646F" w:rsidRDefault="001271BF" w:rsidP="00796002">
            <w:pPr>
              <w:spacing w:after="0" w:line="240" w:lineRule="auto"/>
              <w:rPr>
                <w:rFonts w:asciiTheme="minorHAnsi" w:hAnsiTheme="minorHAnsi"/>
                <w:sz w:val="21"/>
                <w:szCs w:val="21"/>
              </w:rPr>
            </w:pPr>
            <w:r>
              <w:rPr>
                <w:rFonts w:asciiTheme="minorHAnsi" w:hAnsiTheme="minorHAnsi"/>
                <w:sz w:val="21"/>
                <w:szCs w:val="21"/>
              </w:rPr>
              <w:t>Seton Harker Heights</w:t>
            </w:r>
          </w:p>
        </w:tc>
        <w:tc>
          <w:tcPr>
            <w:tcW w:w="2790" w:type="dxa"/>
            <w:tcBorders>
              <w:bottom w:val="single" w:sz="4" w:space="0" w:color="auto"/>
            </w:tcBorders>
          </w:tcPr>
          <w:p w:rsidR="001271BF" w:rsidRPr="00FB646F" w:rsidRDefault="001271BF" w:rsidP="00796002">
            <w:pPr>
              <w:spacing w:after="0" w:line="240" w:lineRule="auto"/>
              <w:rPr>
                <w:rFonts w:asciiTheme="minorHAnsi" w:hAnsiTheme="minorHAnsi"/>
                <w:sz w:val="21"/>
                <w:szCs w:val="21"/>
              </w:rPr>
            </w:pPr>
            <w:r>
              <w:rPr>
                <w:rFonts w:asciiTheme="minorHAnsi" w:hAnsiTheme="minorHAnsi"/>
                <w:sz w:val="21"/>
                <w:szCs w:val="21"/>
              </w:rPr>
              <w:t>Zach Dietz</w:t>
            </w:r>
          </w:p>
        </w:tc>
      </w:tr>
      <w:tr w:rsidR="001271BF" w:rsidRPr="00FB646F" w:rsidTr="00D74232">
        <w:trPr>
          <w:trHeight w:val="634"/>
        </w:trPr>
        <w:tc>
          <w:tcPr>
            <w:tcW w:w="2540" w:type="dxa"/>
            <w:vMerge/>
          </w:tcPr>
          <w:p w:rsidR="001271BF" w:rsidRPr="00FB646F" w:rsidRDefault="001271BF" w:rsidP="00796002">
            <w:pPr>
              <w:spacing w:after="0" w:line="240" w:lineRule="auto"/>
              <w:rPr>
                <w:rFonts w:asciiTheme="minorHAnsi" w:hAnsiTheme="minorHAnsi"/>
                <w:sz w:val="21"/>
                <w:szCs w:val="21"/>
              </w:rPr>
            </w:pPr>
          </w:p>
        </w:tc>
        <w:tc>
          <w:tcPr>
            <w:tcW w:w="1708" w:type="dxa"/>
            <w:vMerge/>
          </w:tcPr>
          <w:p w:rsidR="001271BF" w:rsidRPr="00BC29F4" w:rsidRDefault="001271BF" w:rsidP="00796002">
            <w:pPr>
              <w:spacing w:after="0" w:line="240" w:lineRule="auto"/>
              <w:rPr>
                <w:rFonts w:asciiTheme="minorHAnsi" w:hAnsiTheme="minorHAnsi"/>
                <w:sz w:val="21"/>
                <w:szCs w:val="21"/>
              </w:rPr>
            </w:pPr>
          </w:p>
        </w:tc>
        <w:tc>
          <w:tcPr>
            <w:tcW w:w="450" w:type="dxa"/>
            <w:vMerge/>
            <w:tcBorders>
              <w:bottom w:val="single" w:sz="4" w:space="0" w:color="auto"/>
            </w:tcBorders>
          </w:tcPr>
          <w:p w:rsidR="001271BF" w:rsidRPr="00BC29F4" w:rsidRDefault="001271BF" w:rsidP="00796002">
            <w:pPr>
              <w:spacing w:after="0" w:line="240" w:lineRule="auto"/>
              <w:rPr>
                <w:rFonts w:asciiTheme="minorHAnsi" w:hAnsiTheme="minorHAnsi"/>
                <w:sz w:val="21"/>
                <w:szCs w:val="21"/>
              </w:rPr>
            </w:pPr>
          </w:p>
        </w:tc>
        <w:tc>
          <w:tcPr>
            <w:tcW w:w="2790" w:type="dxa"/>
          </w:tcPr>
          <w:p w:rsidR="001271BF" w:rsidRPr="00BC29F4" w:rsidRDefault="001271BF" w:rsidP="00796002">
            <w:pPr>
              <w:spacing w:after="0" w:line="240" w:lineRule="auto"/>
              <w:rPr>
                <w:rFonts w:asciiTheme="minorHAnsi" w:hAnsiTheme="minorHAnsi"/>
                <w:sz w:val="21"/>
                <w:szCs w:val="21"/>
              </w:rPr>
            </w:pPr>
            <w:r>
              <w:rPr>
                <w:rFonts w:asciiTheme="minorHAnsi" w:hAnsiTheme="minorHAnsi"/>
                <w:sz w:val="21"/>
                <w:szCs w:val="21"/>
              </w:rPr>
              <w:t>Seton Highland Lakes</w:t>
            </w:r>
          </w:p>
        </w:tc>
        <w:tc>
          <w:tcPr>
            <w:tcW w:w="2790" w:type="dxa"/>
          </w:tcPr>
          <w:p w:rsidR="001271BF" w:rsidRPr="00BC29F4" w:rsidRDefault="001271BF" w:rsidP="006C552A">
            <w:pPr>
              <w:spacing w:after="0" w:line="240" w:lineRule="auto"/>
              <w:rPr>
                <w:rFonts w:asciiTheme="minorHAnsi" w:hAnsiTheme="minorHAnsi"/>
                <w:sz w:val="21"/>
                <w:szCs w:val="21"/>
              </w:rPr>
            </w:pPr>
            <w:r w:rsidRPr="00FB646F">
              <w:rPr>
                <w:rFonts w:asciiTheme="minorHAnsi" w:hAnsiTheme="minorHAnsi"/>
                <w:sz w:val="21"/>
                <w:szCs w:val="21"/>
              </w:rPr>
              <w:t>Crissy Calvert</w:t>
            </w:r>
          </w:p>
        </w:tc>
      </w:tr>
      <w:tr w:rsidR="006C552A" w:rsidRPr="00FB646F" w:rsidTr="00796002">
        <w:tc>
          <w:tcPr>
            <w:tcW w:w="2540"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Center for Life</w:t>
            </w:r>
          </w:p>
        </w:tc>
        <w:tc>
          <w:tcPr>
            <w:tcW w:w="1708" w:type="dxa"/>
          </w:tcPr>
          <w:p w:rsidR="006C552A" w:rsidRPr="00BC29F4" w:rsidRDefault="001271BF" w:rsidP="00796002">
            <w:pPr>
              <w:spacing w:after="0" w:line="240" w:lineRule="auto"/>
              <w:rPr>
                <w:rFonts w:asciiTheme="minorHAnsi" w:hAnsiTheme="minorHAnsi"/>
                <w:sz w:val="21"/>
                <w:szCs w:val="21"/>
              </w:rPr>
            </w:pPr>
            <w:r>
              <w:rPr>
                <w:rFonts w:asciiTheme="minorHAnsi" w:hAnsiTheme="minorHAnsi"/>
                <w:sz w:val="21"/>
                <w:szCs w:val="21"/>
              </w:rPr>
              <w:t>Joey Smith</w:t>
            </w:r>
          </w:p>
        </w:tc>
        <w:tc>
          <w:tcPr>
            <w:tcW w:w="450" w:type="dxa"/>
            <w:vMerge/>
          </w:tcPr>
          <w:p w:rsidR="006C552A" w:rsidRPr="00BC29F4" w:rsidRDefault="006C552A" w:rsidP="00796002">
            <w:pPr>
              <w:spacing w:after="0" w:line="240" w:lineRule="auto"/>
              <w:rPr>
                <w:rFonts w:asciiTheme="minorHAnsi" w:hAnsiTheme="minorHAnsi"/>
                <w:sz w:val="21"/>
                <w:szCs w:val="21"/>
              </w:rPr>
            </w:pPr>
          </w:p>
        </w:tc>
        <w:tc>
          <w:tcPr>
            <w:tcW w:w="2790" w:type="dxa"/>
            <w:vMerge w:val="restart"/>
          </w:tcPr>
          <w:p w:rsidR="006C552A" w:rsidRPr="00BC29F4" w:rsidRDefault="006C552A" w:rsidP="00796002">
            <w:pPr>
              <w:spacing w:after="0" w:line="240" w:lineRule="auto"/>
              <w:rPr>
                <w:rFonts w:asciiTheme="minorHAnsi" w:hAnsiTheme="minorHAnsi"/>
                <w:sz w:val="21"/>
                <w:szCs w:val="21"/>
              </w:rPr>
            </w:pPr>
            <w:r w:rsidRPr="00BC29F4">
              <w:rPr>
                <w:rFonts w:asciiTheme="minorHAnsi" w:hAnsiTheme="minorHAnsi"/>
                <w:sz w:val="21"/>
                <w:szCs w:val="21"/>
              </w:rPr>
              <w:t>St. David’s Round Rock Medical Center</w:t>
            </w:r>
          </w:p>
        </w:tc>
        <w:tc>
          <w:tcPr>
            <w:tcW w:w="2790" w:type="dxa"/>
            <w:vMerge w:val="restart"/>
          </w:tcPr>
          <w:p w:rsidR="006C552A" w:rsidRPr="00BC29F4" w:rsidRDefault="006C552A" w:rsidP="00796002">
            <w:pPr>
              <w:spacing w:after="0" w:line="240" w:lineRule="auto"/>
              <w:rPr>
                <w:rFonts w:asciiTheme="minorHAnsi" w:hAnsiTheme="minorHAnsi"/>
                <w:sz w:val="21"/>
                <w:szCs w:val="21"/>
              </w:rPr>
            </w:pPr>
            <w:r>
              <w:rPr>
                <w:rFonts w:asciiTheme="minorHAnsi" w:hAnsiTheme="minorHAnsi"/>
                <w:sz w:val="21"/>
                <w:szCs w:val="21"/>
              </w:rPr>
              <w:t>N/A</w:t>
            </w:r>
          </w:p>
        </w:tc>
      </w:tr>
      <w:tr w:rsidR="006C552A" w:rsidRPr="00FB646F" w:rsidTr="00796002">
        <w:tc>
          <w:tcPr>
            <w:tcW w:w="2540" w:type="dxa"/>
            <w:vMerge w:val="restart"/>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Central Counties Service</w:t>
            </w:r>
          </w:p>
        </w:tc>
        <w:tc>
          <w:tcPr>
            <w:tcW w:w="1708" w:type="dxa"/>
          </w:tcPr>
          <w:p w:rsidR="006C552A" w:rsidRPr="00BC29F4" w:rsidRDefault="006C552A" w:rsidP="00796002">
            <w:pPr>
              <w:spacing w:after="0" w:line="240" w:lineRule="auto"/>
              <w:rPr>
                <w:rFonts w:asciiTheme="minorHAnsi" w:hAnsiTheme="minorHAnsi"/>
                <w:sz w:val="21"/>
                <w:szCs w:val="21"/>
              </w:rPr>
            </w:pPr>
            <w:r w:rsidRPr="00BC29F4">
              <w:rPr>
                <w:rFonts w:asciiTheme="minorHAnsi" w:hAnsiTheme="minorHAnsi"/>
                <w:sz w:val="21"/>
                <w:szCs w:val="21"/>
              </w:rPr>
              <w:t>Eldon Tietje</w:t>
            </w:r>
          </w:p>
        </w:tc>
        <w:tc>
          <w:tcPr>
            <w:tcW w:w="450" w:type="dxa"/>
            <w:vMerge/>
          </w:tcPr>
          <w:p w:rsidR="006C552A" w:rsidRPr="00BC29F4" w:rsidRDefault="006C552A" w:rsidP="00796002">
            <w:pPr>
              <w:spacing w:after="0" w:line="240" w:lineRule="auto"/>
              <w:rPr>
                <w:rFonts w:asciiTheme="minorHAnsi" w:hAnsiTheme="minorHAnsi"/>
                <w:sz w:val="21"/>
                <w:szCs w:val="21"/>
              </w:rPr>
            </w:pPr>
          </w:p>
        </w:tc>
        <w:tc>
          <w:tcPr>
            <w:tcW w:w="2790" w:type="dxa"/>
            <w:vMerge/>
          </w:tcPr>
          <w:p w:rsidR="006C552A" w:rsidRPr="00BC29F4" w:rsidRDefault="006C552A" w:rsidP="00796002">
            <w:pPr>
              <w:spacing w:after="0" w:line="240" w:lineRule="auto"/>
              <w:rPr>
                <w:rFonts w:asciiTheme="minorHAnsi" w:hAnsiTheme="minorHAnsi"/>
                <w:sz w:val="21"/>
                <w:szCs w:val="21"/>
              </w:rPr>
            </w:pPr>
          </w:p>
        </w:tc>
        <w:tc>
          <w:tcPr>
            <w:tcW w:w="2790" w:type="dxa"/>
            <w:vMerge/>
          </w:tcPr>
          <w:p w:rsidR="006C552A" w:rsidRPr="00BC29F4" w:rsidRDefault="006C552A" w:rsidP="00796002">
            <w:pPr>
              <w:spacing w:after="0" w:line="240" w:lineRule="auto"/>
              <w:rPr>
                <w:rFonts w:asciiTheme="minorHAnsi" w:hAnsiTheme="minorHAnsi"/>
                <w:sz w:val="21"/>
                <w:szCs w:val="21"/>
              </w:rPr>
            </w:pPr>
          </w:p>
        </w:tc>
      </w:tr>
      <w:tr w:rsidR="001271BF" w:rsidRPr="00FB646F" w:rsidTr="00BA3F4B">
        <w:trPr>
          <w:trHeight w:val="1588"/>
        </w:trPr>
        <w:tc>
          <w:tcPr>
            <w:tcW w:w="2540" w:type="dxa"/>
            <w:vMerge/>
          </w:tcPr>
          <w:p w:rsidR="001271BF" w:rsidRPr="00FB646F" w:rsidRDefault="001271BF" w:rsidP="00796002">
            <w:pPr>
              <w:spacing w:after="0" w:line="240" w:lineRule="auto"/>
              <w:rPr>
                <w:rFonts w:asciiTheme="minorHAnsi" w:hAnsiTheme="minorHAnsi"/>
                <w:sz w:val="21"/>
                <w:szCs w:val="21"/>
              </w:rPr>
            </w:pPr>
          </w:p>
        </w:tc>
        <w:tc>
          <w:tcPr>
            <w:tcW w:w="1708" w:type="dxa"/>
          </w:tcPr>
          <w:p w:rsidR="001271BF" w:rsidRPr="00BC29F4" w:rsidRDefault="001271BF" w:rsidP="00796002">
            <w:pPr>
              <w:spacing w:after="0" w:line="240" w:lineRule="auto"/>
              <w:rPr>
                <w:rFonts w:asciiTheme="minorHAnsi" w:hAnsiTheme="minorHAnsi"/>
                <w:sz w:val="21"/>
                <w:szCs w:val="21"/>
              </w:rPr>
            </w:pPr>
            <w:r w:rsidRPr="00FB646F">
              <w:rPr>
                <w:rFonts w:asciiTheme="minorHAnsi" w:hAnsiTheme="minorHAnsi"/>
                <w:sz w:val="21"/>
                <w:szCs w:val="21"/>
              </w:rPr>
              <w:t>Keith Morris</w:t>
            </w:r>
          </w:p>
        </w:tc>
        <w:tc>
          <w:tcPr>
            <w:tcW w:w="450" w:type="dxa"/>
            <w:vMerge/>
          </w:tcPr>
          <w:p w:rsidR="001271BF" w:rsidRPr="00BC29F4" w:rsidRDefault="001271BF" w:rsidP="00796002">
            <w:pPr>
              <w:spacing w:after="0" w:line="240" w:lineRule="auto"/>
              <w:rPr>
                <w:rFonts w:asciiTheme="minorHAnsi" w:hAnsiTheme="minorHAnsi"/>
                <w:sz w:val="21"/>
                <w:szCs w:val="21"/>
              </w:rPr>
            </w:pPr>
          </w:p>
        </w:tc>
        <w:tc>
          <w:tcPr>
            <w:tcW w:w="2790" w:type="dxa"/>
            <w:vMerge/>
          </w:tcPr>
          <w:p w:rsidR="001271BF" w:rsidRPr="00BC29F4" w:rsidRDefault="001271BF" w:rsidP="00796002">
            <w:pPr>
              <w:spacing w:after="0" w:line="240" w:lineRule="auto"/>
              <w:rPr>
                <w:rFonts w:asciiTheme="minorHAnsi" w:hAnsiTheme="minorHAnsi"/>
                <w:sz w:val="21"/>
                <w:szCs w:val="21"/>
              </w:rPr>
            </w:pPr>
          </w:p>
        </w:tc>
        <w:tc>
          <w:tcPr>
            <w:tcW w:w="2790" w:type="dxa"/>
            <w:vMerge/>
          </w:tcPr>
          <w:p w:rsidR="001271BF" w:rsidRPr="00BC29F4" w:rsidRDefault="001271BF" w:rsidP="00796002">
            <w:pPr>
              <w:spacing w:after="0" w:line="240" w:lineRule="auto"/>
              <w:rPr>
                <w:rFonts w:asciiTheme="minorHAnsi" w:hAnsiTheme="minorHAnsi"/>
                <w:sz w:val="21"/>
                <w:szCs w:val="21"/>
              </w:rPr>
            </w:pPr>
          </w:p>
        </w:tc>
      </w:tr>
      <w:tr w:rsidR="006C552A" w:rsidRPr="00FB646F" w:rsidTr="00796002">
        <w:tc>
          <w:tcPr>
            <w:tcW w:w="2540" w:type="dxa"/>
            <w:vMerge w:val="restart"/>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Hill Country MHMR</w:t>
            </w:r>
          </w:p>
        </w:tc>
        <w:tc>
          <w:tcPr>
            <w:tcW w:w="1708"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David Weden</w:t>
            </w:r>
          </w:p>
        </w:tc>
        <w:tc>
          <w:tcPr>
            <w:tcW w:w="450" w:type="dxa"/>
            <w:vMerge/>
          </w:tcPr>
          <w:p w:rsidR="006C552A" w:rsidRPr="00FB646F" w:rsidRDefault="006C552A" w:rsidP="00796002">
            <w:pPr>
              <w:spacing w:after="0" w:line="240" w:lineRule="auto"/>
              <w:rPr>
                <w:rFonts w:asciiTheme="minorHAnsi" w:hAnsiTheme="minorHAnsi"/>
                <w:sz w:val="21"/>
                <w:szCs w:val="21"/>
                <w:highlight w:val="lightGray"/>
              </w:rPr>
            </w:pPr>
          </w:p>
        </w:tc>
        <w:tc>
          <w:tcPr>
            <w:tcW w:w="2790" w:type="dxa"/>
            <w:vMerge/>
          </w:tcPr>
          <w:p w:rsidR="006C552A" w:rsidRPr="00FB646F" w:rsidRDefault="006C552A" w:rsidP="00796002">
            <w:pPr>
              <w:spacing w:after="0" w:line="240" w:lineRule="auto"/>
              <w:rPr>
                <w:rFonts w:asciiTheme="minorHAnsi" w:hAnsiTheme="minorHAnsi"/>
                <w:sz w:val="21"/>
                <w:szCs w:val="21"/>
              </w:rPr>
            </w:pPr>
          </w:p>
        </w:tc>
        <w:tc>
          <w:tcPr>
            <w:tcW w:w="2790" w:type="dxa"/>
            <w:vMerge/>
          </w:tcPr>
          <w:p w:rsidR="006C552A" w:rsidRPr="00FB646F" w:rsidRDefault="006C552A" w:rsidP="00796002">
            <w:pPr>
              <w:spacing w:after="0" w:line="240" w:lineRule="auto"/>
              <w:rPr>
                <w:rFonts w:asciiTheme="minorHAnsi" w:hAnsiTheme="minorHAnsi"/>
                <w:sz w:val="21"/>
                <w:szCs w:val="21"/>
              </w:rPr>
            </w:pPr>
          </w:p>
        </w:tc>
      </w:tr>
      <w:tr w:rsidR="006C552A" w:rsidRPr="00FB646F" w:rsidTr="00796002">
        <w:tc>
          <w:tcPr>
            <w:tcW w:w="2540" w:type="dxa"/>
            <w:vMerge/>
          </w:tcPr>
          <w:p w:rsidR="006C552A" w:rsidRPr="00FB646F" w:rsidRDefault="006C552A" w:rsidP="00796002">
            <w:pPr>
              <w:spacing w:after="0" w:line="240" w:lineRule="auto"/>
              <w:rPr>
                <w:rFonts w:asciiTheme="minorHAnsi" w:hAnsiTheme="minorHAnsi"/>
                <w:sz w:val="21"/>
                <w:szCs w:val="21"/>
              </w:rPr>
            </w:pPr>
          </w:p>
        </w:tc>
        <w:tc>
          <w:tcPr>
            <w:tcW w:w="1708" w:type="dxa"/>
            <w:vMerge w:val="restart"/>
          </w:tcPr>
          <w:p w:rsidR="006C552A" w:rsidRPr="00FB646F" w:rsidRDefault="006C552A" w:rsidP="00796002">
            <w:pPr>
              <w:spacing w:after="0" w:line="240" w:lineRule="auto"/>
              <w:rPr>
                <w:rFonts w:asciiTheme="minorHAnsi" w:hAnsiTheme="minorHAnsi"/>
                <w:sz w:val="21"/>
                <w:szCs w:val="21"/>
              </w:rPr>
            </w:pPr>
            <w:r>
              <w:rPr>
                <w:rFonts w:asciiTheme="minorHAnsi" w:hAnsiTheme="minorHAnsi"/>
                <w:sz w:val="21"/>
                <w:szCs w:val="21"/>
              </w:rPr>
              <w:t>Kristie Jacoby</w:t>
            </w:r>
          </w:p>
        </w:tc>
        <w:tc>
          <w:tcPr>
            <w:tcW w:w="450" w:type="dxa"/>
            <w:vMerge/>
          </w:tcPr>
          <w:p w:rsidR="006C552A" w:rsidRPr="00FB646F" w:rsidRDefault="006C552A" w:rsidP="00796002">
            <w:pPr>
              <w:spacing w:after="0" w:line="240" w:lineRule="auto"/>
              <w:rPr>
                <w:rFonts w:asciiTheme="minorHAnsi" w:hAnsiTheme="minorHAnsi"/>
                <w:sz w:val="21"/>
                <w:szCs w:val="21"/>
                <w:highlight w:val="lightGray"/>
              </w:rPr>
            </w:pPr>
          </w:p>
        </w:tc>
        <w:tc>
          <w:tcPr>
            <w:tcW w:w="2790" w:type="dxa"/>
            <w:vMerge w:val="restart"/>
          </w:tcPr>
          <w:p w:rsidR="006C552A" w:rsidRPr="00FB646F" w:rsidRDefault="006C552A" w:rsidP="00796002">
            <w:pPr>
              <w:spacing w:after="0" w:line="240" w:lineRule="auto"/>
              <w:rPr>
                <w:rFonts w:asciiTheme="minorHAnsi" w:hAnsiTheme="minorHAnsi"/>
                <w:sz w:val="21"/>
                <w:szCs w:val="21"/>
              </w:rPr>
            </w:pPr>
            <w:r w:rsidRPr="00BC29F4">
              <w:rPr>
                <w:rFonts w:asciiTheme="minorHAnsi" w:hAnsiTheme="minorHAnsi"/>
                <w:sz w:val="21"/>
                <w:szCs w:val="21"/>
              </w:rPr>
              <w:t>Williamson County and Cities Health District</w:t>
            </w:r>
          </w:p>
        </w:tc>
        <w:tc>
          <w:tcPr>
            <w:tcW w:w="2790" w:type="dxa"/>
          </w:tcPr>
          <w:p w:rsidR="006C552A" w:rsidRPr="00FB646F" w:rsidRDefault="006C552A" w:rsidP="00796002">
            <w:pPr>
              <w:spacing w:after="0" w:line="240" w:lineRule="auto"/>
              <w:rPr>
                <w:rFonts w:asciiTheme="minorHAnsi" w:hAnsiTheme="minorHAnsi"/>
                <w:sz w:val="21"/>
                <w:szCs w:val="21"/>
              </w:rPr>
            </w:pPr>
            <w:r>
              <w:rPr>
                <w:rFonts w:asciiTheme="minorHAnsi" w:hAnsiTheme="minorHAnsi"/>
                <w:sz w:val="21"/>
                <w:szCs w:val="21"/>
              </w:rPr>
              <w:t>Mary Faith Sterk</w:t>
            </w:r>
          </w:p>
        </w:tc>
      </w:tr>
      <w:tr w:rsidR="001271BF" w:rsidRPr="00FB646F" w:rsidTr="00BA7026">
        <w:trPr>
          <w:trHeight w:val="266"/>
        </w:trPr>
        <w:tc>
          <w:tcPr>
            <w:tcW w:w="2540" w:type="dxa"/>
            <w:vMerge/>
            <w:tcBorders>
              <w:bottom w:val="single" w:sz="4" w:space="0" w:color="auto"/>
            </w:tcBorders>
          </w:tcPr>
          <w:p w:rsidR="001271BF" w:rsidRPr="00FB646F" w:rsidRDefault="001271BF" w:rsidP="00796002">
            <w:pPr>
              <w:spacing w:after="0" w:line="240" w:lineRule="auto"/>
              <w:rPr>
                <w:rFonts w:asciiTheme="minorHAnsi" w:hAnsiTheme="minorHAnsi"/>
                <w:sz w:val="21"/>
                <w:szCs w:val="21"/>
              </w:rPr>
            </w:pPr>
          </w:p>
        </w:tc>
        <w:tc>
          <w:tcPr>
            <w:tcW w:w="1708" w:type="dxa"/>
            <w:vMerge/>
            <w:tcBorders>
              <w:bottom w:val="single" w:sz="4" w:space="0" w:color="auto"/>
            </w:tcBorders>
          </w:tcPr>
          <w:p w:rsidR="001271BF" w:rsidRPr="00FB646F" w:rsidRDefault="001271BF" w:rsidP="00796002">
            <w:pPr>
              <w:spacing w:after="0" w:line="240" w:lineRule="auto"/>
              <w:rPr>
                <w:rFonts w:asciiTheme="minorHAnsi" w:hAnsiTheme="minorHAnsi"/>
                <w:sz w:val="21"/>
                <w:szCs w:val="21"/>
              </w:rPr>
            </w:pPr>
          </w:p>
        </w:tc>
        <w:tc>
          <w:tcPr>
            <w:tcW w:w="450" w:type="dxa"/>
            <w:vMerge/>
            <w:tcBorders>
              <w:bottom w:val="single" w:sz="4" w:space="0" w:color="auto"/>
            </w:tcBorders>
          </w:tcPr>
          <w:p w:rsidR="001271BF" w:rsidRPr="00FB646F" w:rsidRDefault="001271BF" w:rsidP="00796002">
            <w:pPr>
              <w:spacing w:after="0" w:line="240" w:lineRule="auto"/>
              <w:rPr>
                <w:rFonts w:asciiTheme="minorHAnsi" w:hAnsiTheme="minorHAnsi"/>
                <w:sz w:val="21"/>
                <w:szCs w:val="21"/>
                <w:highlight w:val="lightGray"/>
              </w:rPr>
            </w:pPr>
          </w:p>
        </w:tc>
        <w:tc>
          <w:tcPr>
            <w:tcW w:w="2790" w:type="dxa"/>
            <w:vMerge/>
            <w:tcBorders>
              <w:bottom w:val="single" w:sz="4" w:space="0" w:color="auto"/>
            </w:tcBorders>
          </w:tcPr>
          <w:p w:rsidR="001271BF" w:rsidRPr="00FB646F" w:rsidRDefault="001271BF" w:rsidP="00796002">
            <w:pPr>
              <w:spacing w:after="0" w:line="240" w:lineRule="auto"/>
              <w:rPr>
                <w:rFonts w:asciiTheme="minorHAnsi" w:hAnsiTheme="minorHAnsi"/>
                <w:sz w:val="21"/>
                <w:szCs w:val="21"/>
              </w:rPr>
            </w:pPr>
          </w:p>
        </w:tc>
        <w:tc>
          <w:tcPr>
            <w:tcW w:w="2790" w:type="dxa"/>
            <w:vMerge w:val="restart"/>
            <w:tcBorders>
              <w:bottom w:val="single" w:sz="4" w:space="0" w:color="auto"/>
            </w:tcBorders>
          </w:tcPr>
          <w:p w:rsidR="001271BF" w:rsidRPr="00FB646F" w:rsidRDefault="001271BF" w:rsidP="00796002">
            <w:pPr>
              <w:spacing w:after="0" w:line="240" w:lineRule="auto"/>
              <w:rPr>
                <w:rFonts w:asciiTheme="minorHAnsi" w:hAnsiTheme="minorHAnsi"/>
                <w:sz w:val="21"/>
                <w:szCs w:val="21"/>
              </w:rPr>
            </w:pPr>
            <w:r>
              <w:rPr>
                <w:rFonts w:asciiTheme="minorHAnsi" w:hAnsiTheme="minorHAnsi"/>
                <w:sz w:val="21"/>
                <w:szCs w:val="21"/>
              </w:rPr>
              <w:t>Lisa Morse</w:t>
            </w:r>
          </w:p>
        </w:tc>
      </w:tr>
      <w:tr w:rsidR="001271BF" w:rsidRPr="00FB646F" w:rsidTr="00796002">
        <w:tc>
          <w:tcPr>
            <w:tcW w:w="2540" w:type="dxa"/>
          </w:tcPr>
          <w:p w:rsidR="001271BF" w:rsidRPr="00FB646F" w:rsidRDefault="001271BF" w:rsidP="00796002">
            <w:pPr>
              <w:spacing w:after="0" w:line="240" w:lineRule="auto"/>
              <w:rPr>
                <w:rFonts w:asciiTheme="minorHAnsi" w:hAnsiTheme="minorHAnsi"/>
                <w:sz w:val="21"/>
                <w:szCs w:val="21"/>
              </w:rPr>
            </w:pPr>
            <w:r w:rsidRPr="00FB646F">
              <w:rPr>
                <w:rFonts w:asciiTheme="minorHAnsi" w:hAnsiTheme="minorHAnsi"/>
                <w:sz w:val="21"/>
                <w:szCs w:val="21"/>
              </w:rPr>
              <w:t>Little River Healthcare</w:t>
            </w:r>
          </w:p>
        </w:tc>
        <w:tc>
          <w:tcPr>
            <w:tcW w:w="1708" w:type="dxa"/>
          </w:tcPr>
          <w:p w:rsidR="001271BF" w:rsidRPr="00FB646F" w:rsidRDefault="001271BF" w:rsidP="00796002">
            <w:pPr>
              <w:spacing w:after="0" w:line="240" w:lineRule="auto"/>
              <w:rPr>
                <w:rFonts w:asciiTheme="minorHAnsi" w:hAnsiTheme="minorHAnsi"/>
                <w:sz w:val="21"/>
                <w:szCs w:val="21"/>
              </w:rPr>
            </w:pPr>
            <w:r>
              <w:rPr>
                <w:rFonts w:asciiTheme="minorHAnsi" w:hAnsiTheme="minorHAnsi"/>
                <w:sz w:val="21"/>
                <w:szCs w:val="21"/>
              </w:rPr>
              <w:t>N/A</w:t>
            </w:r>
          </w:p>
        </w:tc>
        <w:tc>
          <w:tcPr>
            <w:tcW w:w="450" w:type="dxa"/>
            <w:vMerge/>
          </w:tcPr>
          <w:p w:rsidR="001271BF" w:rsidRPr="00FB646F" w:rsidRDefault="001271BF" w:rsidP="00796002">
            <w:pPr>
              <w:spacing w:after="0" w:line="240" w:lineRule="auto"/>
              <w:rPr>
                <w:rFonts w:asciiTheme="minorHAnsi" w:hAnsiTheme="minorHAnsi"/>
                <w:sz w:val="21"/>
                <w:szCs w:val="21"/>
                <w:highlight w:val="lightGray"/>
              </w:rPr>
            </w:pPr>
          </w:p>
        </w:tc>
        <w:tc>
          <w:tcPr>
            <w:tcW w:w="2790" w:type="dxa"/>
            <w:vMerge/>
          </w:tcPr>
          <w:p w:rsidR="001271BF" w:rsidRPr="00FB646F" w:rsidRDefault="001271BF" w:rsidP="00796002">
            <w:pPr>
              <w:spacing w:after="0" w:line="240" w:lineRule="auto"/>
              <w:rPr>
                <w:rFonts w:asciiTheme="minorHAnsi" w:hAnsiTheme="minorHAnsi"/>
                <w:sz w:val="21"/>
                <w:szCs w:val="21"/>
              </w:rPr>
            </w:pPr>
          </w:p>
        </w:tc>
        <w:tc>
          <w:tcPr>
            <w:tcW w:w="2790" w:type="dxa"/>
            <w:vMerge/>
          </w:tcPr>
          <w:p w:rsidR="001271BF" w:rsidRPr="00FB646F" w:rsidRDefault="001271BF" w:rsidP="00796002">
            <w:pPr>
              <w:spacing w:after="0" w:line="240" w:lineRule="auto"/>
              <w:rPr>
                <w:rFonts w:asciiTheme="minorHAnsi" w:hAnsiTheme="minorHAnsi"/>
                <w:sz w:val="21"/>
                <w:szCs w:val="21"/>
              </w:rPr>
            </w:pPr>
          </w:p>
        </w:tc>
      </w:tr>
      <w:tr w:rsidR="006C552A" w:rsidRPr="00FB646F" w:rsidTr="00796002">
        <w:tc>
          <w:tcPr>
            <w:tcW w:w="2540"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Llano</w:t>
            </w:r>
          </w:p>
        </w:tc>
        <w:tc>
          <w:tcPr>
            <w:tcW w:w="1708" w:type="dxa"/>
          </w:tcPr>
          <w:p w:rsidR="006C552A" w:rsidRPr="00FB646F" w:rsidRDefault="001271BF" w:rsidP="001271BF">
            <w:pPr>
              <w:spacing w:after="0" w:line="240" w:lineRule="auto"/>
              <w:rPr>
                <w:rFonts w:asciiTheme="minorHAnsi" w:hAnsiTheme="minorHAnsi"/>
                <w:sz w:val="21"/>
                <w:szCs w:val="21"/>
              </w:rPr>
            </w:pPr>
            <w:r>
              <w:rPr>
                <w:rFonts w:asciiTheme="minorHAnsi" w:hAnsiTheme="minorHAnsi"/>
                <w:sz w:val="21"/>
                <w:szCs w:val="21"/>
              </w:rPr>
              <w:t>N/A</w:t>
            </w:r>
          </w:p>
        </w:tc>
        <w:tc>
          <w:tcPr>
            <w:tcW w:w="450" w:type="dxa"/>
            <w:vMerge/>
          </w:tcPr>
          <w:p w:rsidR="006C552A" w:rsidRPr="00FB646F" w:rsidRDefault="006C552A" w:rsidP="00796002">
            <w:pPr>
              <w:spacing w:after="0" w:line="240" w:lineRule="auto"/>
              <w:rPr>
                <w:rFonts w:asciiTheme="minorHAnsi" w:hAnsiTheme="minorHAnsi"/>
                <w:sz w:val="21"/>
                <w:szCs w:val="21"/>
                <w:highlight w:val="lightGray"/>
              </w:rPr>
            </w:pPr>
          </w:p>
        </w:tc>
        <w:tc>
          <w:tcPr>
            <w:tcW w:w="2790"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RHP 8 Program Director</w:t>
            </w:r>
          </w:p>
        </w:tc>
        <w:tc>
          <w:tcPr>
            <w:tcW w:w="2790"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Jennifer Bienski</w:t>
            </w:r>
            <w:r w:rsidR="00D1009C">
              <w:rPr>
                <w:rFonts w:asciiTheme="minorHAnsi" w:hAnsiTheme="minorHAnsi"/>
                <w:sz w:val="21"/>
                <w:szCs w:val="21"/>
              </w:rPr>
              <w:t xml:space="preserve"> </w:t>
            </w:r>
            <w:proofErr w:type="spellStart"/>
            <w:r>
              <w:rPr>
                <w:rFonts w:asciiTheme="minorHAnsi" w:hAnsiTheme="minorHAnsi"/>
                <w:sz w:val="21"/>
                <w:szCs w:val="21"/>
              </w:rPr>
              <w:t>LoGalbo</w:t>
            </w:r>
            <w:proofErr w:type="spellEnd"/>
          </w:p>
        </w:tc>
      </w:tr>
      <w:tr w:rsidR="006C552A" w:rsidRPr="00FB646F" w:rsidTr="00796002">
        <w:tc>
          <w:tcPr>
            <w:tcW w:w="2540"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Memorial</w:t>
            </w:r>
          </w:p>
        </w:tc>
        <w:tc>
          <w:tcPr>
            <w:tcW w:w="1708" w:type="dxa"/>
          </w:tcPr>
          <w:p w:rsidR="006C552A" w:rsidRPr="00FB646F" w:rsidRDefault="001271BF" w:rsidP="001271BF">
            <w:pPr>
              <w:spacing w:after="0" w:line="240" w:lineRule="auto"/>
              <w:rPr>
                <w:rFonts w:asciiTheme="minorHAnsi" w:hAnsiTheme="minorHAnsi"/>
                <w:sz w:val="21"/>
                <w:szCs w:val="21"/>
              </w:rPr>
            </w:pPr>
            <w:r>
              <w:rPr>
                <w:rFonts w:asciiTheme="minorHAnsi" w:hAnsiTheme="minorHAnsi"/>
                <w:sz w:val="21"/>
                <w:szCs w:val="21"/>
              </w:rPr>
              <w:t>N/A</w:t>
            </w:r>
          </w:p>
        </w:tc>
        <w:tc>
          <w:tcPr>
            <w:tcW w:w="450" w:type="dxa"/>
            <w:vMerge/>
          </w:tcPr>
          <w:p w:rsidR="006C552A" w:rsidRPr="00FB646F" w:rsidRDefault="006C552A" w:rsidP="00796002">
            <w:pPr>
              <w:spacing w:after="0" w:line="240" w:lineRule="auto"/>
              <w:rPr>
                <w:rFonts w:asciiTheme="minorHAnsi" w:hAnsiTheme="minorHAnsi"/>
                <w:sz w:val="21"/>
                <w:szCs w:val="21"/>
                <w:highlight w:val="lightGray"/>
              </w:rPr>
            </w:pPr>
          </w:p>
        </w:tc>
        <w:tc>
          <w:tcPr>
            <w:tcW w:w="2790"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RHP 8 Program Assistant</w:t>
            </w:r>
          </w:p>
        </w:tc>
        <w:tc>
          <w:tcPr>
            <w:tcW w:w="2790" w:type="dxa"/>
          </w:tcPr>
          <w:p w:rsidR="006C552A" w:rsidRPr="00FB646F" w:rsidRDefault="006C552A" w:rsidP="00796002">
            <w:pPr>
              <w:spacing w:after="0" w:line="240" w:lineRule="auto"/>
              <w:rPr>
                <w:rFonts w:asciiTheme="minorHAnsi" w:hAnsiTheme="minorHAnsi"/>
                <w:sz w:val="21"/>
                <w:szCs w:val="21"/>
              </w:rPr>
            </w:pPr>
            <w:r w:rsidRPr="00FB646F">
              <w:rPr>
                <w:rFonts w:asciiTheme="minorHAnsi" w:hAnsiTheme="minorHAnsi"/>
                <w:sz w:val="21"/>
                <w:szCs w:val="21"/>
              </w:rPr>
              <w:t>Gina Lawson</w:t>
            </w:r>
          </w:p>
        </w:tc>
      </w:tr>
    </w:tbl>
    <w:p w:rsidR="006C1F10" w:rsidRDefault="006C1F10" w:rsidP="00287A36">
      <w:pPr>
        <w:spacing w:line="240" w:lineRule="auto"/>
        <w:jc w:val="center"/>
        <w:rPr>
          <w:rFonts w:asciiTheme="minorHAnsi" w:hAnsiTheme="minorHAnsi" w:cstheme="minorHAnsi"/>
          <w:b/>
          <w:sz w:val="32"/>
          <w:szCs w:val="32"/>
        </w:rPr>
      </w:pPr>
    </w:p>
    <w:p w:rsidR="006C1F10" w:rsidRDefault="006C1F10">
      <w:pPr>
        <w:spacing w:after="0" w:line="240" w:lineRule="auto"/>
        <w:rPr>
          <w:rFonts w:asciiTheme="minorHAnsi" w:hAnsiTheme="minorHAnsi" w:cstheme="minorHAnsi"/>
          <w:b/>
          <w:sz w:val="32"/>
          <w:szCs w:val="32"/>
        </w:rPr>
      </w:pPr>
      <w:r>
        <w:rPr>
          <w:rFonts w:asciiTheme="minorHAnsi" w:hAnsiTheme="minorHAnsi" w:cstheme="minorHAnsi"/>
          <w:b/>
          <w:sz w:val="32"/>
          <w:szCs w:val="32"/>
        </w:rPr>
        <w:br w:type="page"/>
      </w:r>
    </w:p>
    <w:p w:rsidR="00287A36" w:rsidRDefault="00CD577F" w:rsidP="00287A36">
      <w:pPr>
        <w:spacing w:line="240" w:lineRule="auto"/>
        <w:jc w:val="center"/>
        <w:rPr>
          <w:rFonts w:asciiTheme="minorHAnsi" w:hAnsiTheme="minorHAnsi" w:cstheme="minorHAnsi"/>
          <w:b/>
          <w:sz w:val="32"/>
          <w:szCs w:val="32"/>
        </w:rPr>
      </w:pPr>
      <w:r w:rsidRPr="00A154EF">
        <w:rPr>
          <w:rFonts w:asciiTheme="minorHAnsi" w:hAnsiTheme="minorHAnsi" w:cstheme="minorHAnsi"/>
          <w:b/>
          <w:sz w:val="32"/>
          <w:szCs w:val="32"/>
        </w:rPr>
        <w:lastRenderedPageBreak/>
        <w:t>AGENDA</w:t>
      </w:r>
    </w:p>
    <w:p w:rsidR="00D20684" w:rsidRPr="00143207" w:rsidRDefault="00CD577F" w:rsidP="00143207">
      <w:pPr>
        <w:pStyle w:val="ListParagraph"/>
        <w:numPr>
          <w:ilvl w:val="0"/>
          <w:numId w:val="14"/>
        </w:numPr>
        <w:spacing w:after="0" w:line="240" w:lineRule="auto"/>
        <w:rPr>
          <w:rFonts w:asciiTheme="minorHAnsi" w:hAnsiTheme="minorHAnsi" w:cstheme="minorHAnsi"/>
          <w:b/>
          <w:sz w:val="28"/>
          <w:szCs w:val="28"/>
        </w:rPr>
      </w:pPr>
      <w:r w:rsidRPr="003E5444">
        <w:rPr>
          <w:rFonts w:asciiTheme="minorHAnsi" w:hAnsiTheme="minorHAnsi" w:cstheme="minorHAnsi"/>
          <w:b/>
          <w:sz w:val="28"/>
          <w:szCs w:val="28"/>
        </w:rPr>
        <w:t xml:space="preserve">Welcome </w:t>
      </w:r>
      <w:r w:rsidR="00FC1AB4" w:rsidRPr="003E5444">
        <w:rPr>
          <w:rFonts w:asciiTheme="minorHAnsi" w:hAnsiTheme="minorHAnsi" w:cstheme="minorHAnsi"/>
          <w:b/>
          <w:sz w:val="28"/>
          <w:szCs w:val="28"/>
        </w:rPr>
        <w:t>and Introductions</w:t>
      </w:r>
    </w:p>
    <w:tbl>
      <w:tblPr>
        <w:tblW w:w="0" w:type="auto"/>
        <w:tblBorders>
          <w:top w:val="nil"/>
          <w:left w:val="nil"/>
          <w:bottom w:val="nil"/>
          <w:right w:val="nil"/>
        </w:tblBorders>
        <w:tblLayout w:type="fixed"/>
        <w:tblLook w:val="0000" w:firstRow="0" w:lastRow="0" w:firstColumn="0" w:lastColumn="0" w:noHBand="0" w:noVBand="0"/>
      </w:tblPr>
      <w:tblGrid>
        <w:gridCol w:w="8711"/>
      </w:tblGrid>
      <w:tr w:rsidR="00DA3A70" w:rsidRPr="00DA3A70" w:rsidTr="00DA3A70">
        <w:trPr>
          <w:trHeight w:val="106"/>
        </w:trPr>
        <w:tc>
          <w:tcPr>
            <w:tcW w:w="8711" w:type="dxa"/>
          </w:tcPr>
          <w:p w:rsidR="00DA3A70" w:rsidRPr="00DA3A70" w:rsidRDefault="00DA3A70" w:rsidP="00DA3A70">
            <w:pPr>
              <w:autoSpaceDE w:val="0"/>
              <w:autoSpaceDN w:val="0"/>
              <w:adjustRightInd w:val="0"/>
              <w:spacing w:after="0" w:line="240" w:lineRule="auto"/>
              <w:rPr>
                <w:rFonts w:cs="Calibri"/>
                <w:color w:val="000000"/>
                <w:sz w:val="20"/>
                <w:szCs w:val="20"/>
              </w:rPr>
            </w:pPr>
          </w:p>
        </w:tc>
      </w:tr>
    </w:tbl>
    <w:p w:rsidR="00D90301" w:rsidRDefault="00FC1AB4" w:rsidP="005905B7">
      <w:pPr>
        <w:pStyle w:val="ListParagraph"/>
        <w:numPr>
          <w:ilvl w:val="0"/>
          <w:numId w:val="14"/>
        </w:numPr>
        <w:spacing w:after="0" w:line="240" w:lineRule="auto"/>
        <w:rPr>
          <w:b/>
          <w:sz w:val="28"/>
          <w:szCs w:val="28"/>
        </w:rPr>
      </w:pPr>
      <w:r w:rsidRPr="003E5444">
        <w:rPr>
          <w:b/>
          <w:sz w:val="28"/>
          <w:szCs w:val="28"/>
        </w:rPr>
        <w:t>Updates from HHSC</w:t>
      </w:r>
    </w:p>
    <w:tbl>
      <w:tblPr>
        <w:tblW w:w="10771" w:type="dxa"/>
        <w:tblInd w:w="-882" w:type="dxa"/>
        <w:tblBorders>
          <w:top w:val="nil"/>
          <w:left w:val="nil"/>
          <w:bottom w:val="nil"/>
          <w:right w:val="nil"/>
        </w:tblBorders>
        <w:tblLayout w:type="fixed"/>
        <w:tblLook w:val="0000" w:firstRow="0" w:lastRow="0" w:firstColumn="0" w:lastColumn="0" w:noHBand="0" w:noVBand="0"/>
      </w:tblPr>
      <w:tblGrid>
        <w:gridCol w:w="10771"/>
      </w:tblGrid>
      <w:tr w:rsidR="00DA3A70" w:rsidRPr="00A61E1E" w:rsidTr="00972E0B">
        <w:trPr>
          <w:trHeight w:val="3754"/>
        </w:trPr>
        <w:tc>
          <w:tcPr>
            <w:tcW w:w="10771" w:type="dxa"/>
          </w:tcPr>
          <w:p w:rsidR="00143207" w:rsidRPr="00A61E1E" w:rsidRDefault="00A61E1E" w:rsidP="00A61E1E">
            <w:pPr>
              <w:autoSpaceDE w:val="0"/>
              <w:autoSpaceDN w:val="0"/>
              <w:adjustRightInd w:val="0"/>
              <w:spacing w:after="0" w:line="240" w:lineRule="auto"/>
              <w:rPr>
                <w:rFonts w:cs="Calibri"/>
                <w:b/>
                <w:color w:val="FF0000"/>
                <w:u w:val="single"/>
              </w:rPr>
            </w:pPr>
            <w:r w:rsidRPr="00A61E1E">
              <w:rPr>
                <w:rFonts w:cs="Calibri"/>
                <w:b/>
                <w:color w:val="FF0000"/>
              </w:rPr>
              <w:t xml:space="preserve">                </w:t>
            </w:r>
            <w:r w:rsidR="00143207" w:rsidRPr="00A61E1E">
              <w:rPr>
                <w:rFonts w:cs="Calibri"/>
                <w:b/>
                <w:color w:val="FF0000"/>
                <w:u w:val="single"/>
              </w:rPr>
              <w:t>April DY3 Reporting</w:t>
            </w:r>
          </w:p>
          <w:p w:rsidR="00DA3A70" w:rsidRPr="00A61E1E" w:rsidRDefault="00DA3A70" w:rsidP="00143207">
            <w:pPr>
              <w:pStyle w:val="ListParagraph"/>
              <w:autoSpaceDE w:val="0"/>
              <w:autoSpaceDN w:val="0"/>
              <w:adjustRightInd w:val="0"/>
              <w:spacing w:after="0" w:line="240" w:lineRule="auto"/>
              <w:ind w:left="1080"/>
              <w:rPr>
                <w:rFonts w:cs="Calibri"/>
                <w:color w:val="FF0000"/>
              </w:rPr>
            </w:pPr>
            <w:r w:rsidRPr="00A61E1E">
              <w:rPr>
                <w:rFonts w:cs="Calibri"/>
                <w:color w:val="FF0000"/>
              </w:rPr>
              <w:t xml:space="preserve">As HHSC staff have begun reviewing documentation submitted by </w:t>
            </w:r>
            <w:r w:rsidR="00143207" w:rsidRPr="00A61E1E">
              <w:rPr>
                <w:rFonts w:cs="Calibri"/>
                <w:color w:val="FF0000"/>
              </w:rPr>
              <w:t>Providers</w:t>
            </w:r>
            <w:r w:rsidRPr="00A61E1E">
              <w:rPr>
                <w:rFonts w:cs="Calibri"/>
                <w:color w:val="FF0000"/>
              </w:rPr>
              <w:t xml:space="preserve"> in support of DY3 metric achievement, HHSC has noticed a few issues: </w:t>
            </w:r>
          </w:p>
          <w:p w:rsidR="00101132" w:rsidRPr="00A61E1E" w:rsidRDefault="00101132" w:rsidP="00A61E1E">
            <w:pPr>
              <w:pStyle w:val="ListParagraph"/>
              <w:numPr>
                <w:ilvl w:val="1"/>
                <w:numId w:val="14"/>
              </w:numPr>
              <w:autoSpaceDE w:val="0"/>
              <w:autoSpaceDN w:val="0"/>
              <w:adjustRightInd w:val="0"/>
              <w:spacing w:after="0" w:line="240" w:lineRule="auto"/>
              <w:rPr>
                <w:rFonts w:cs="Calibri"/>
                <w:color w:val="FF0000"/>
              </w:rPr>
            </w:pPr>
            <w:r w:rsidRPr="00A61E1E">
              <w:rPr>
                <w:rFonts w:cs="Calibri"/>
                <w:color w:val="FF0000"/>
              </w:rPr>
              <w:t xml:space="preserve">If a </w:t>
            </w:r>
            <w:r w:rsidR="00143207" w:rsidRPr="00A61E1E">
              <w:rPr>
                <w:rFonts w:cs="Calibri"/>
                <w:color w:val="FF0000"/>
              </w:rPr>
              <w:t>Provider</w:t>
            </w:r>
            <w:r w:rsidRPr="00A61E1E">
              <w:rPr>
                <w:rFonts w:cs="Calibri"/>
                <w:color w:val="FF0000"/>
              </w:rPr>
              <w:t xml:space="preserve"> did NOT have 100% achievement on a metric, but submitted documentation and  would like HHSC to review the documentation, send an email to the HHSC waiver mailbox in June or later (since HHSC is focused on April reporting review of “100% achieved” metrics now). </w:t>
            </w:r>
          </w:p>
          <w:p w:rsidR="00101132" w:rsidRPr="00A61E1E" w:rsidRDefault="00101132" w:rsidP="00A61E1E">
            <w:pPr>
              <w:pStyle w:val="ListParagraph"/>
              <w:numPr>
                <w:ilvl w:val="1"/>
                <w:numId w:val="14"/>
              </w:numPr>
              <w:autoSpaceDE w:val="0"/>
              <w:autoSpaceDN w:val="0"/>
              <w:adjustRightInd w:val="0"/>
              <w:spacing w:after="0" w:line="240" w:lineRule="auto"/>
              <w:rPr>
                <w:rFonts w:cs="Calibri"/>
                <w:color w:val="FF0000"/>
              </w:rPr>
            </w:pPr>
            <w:r w:rsidRPr="00A61E1E">
              <w:rPr>
                <w:rFonts w:cs="Calibri"/>
                <w:color w:val="FF0000"/>
              </w:rPr>
              <w:t xml:space="preserve">HHSC noticed a handful of projects that have said they are not reporting/did not achieve metric, but did attach documentation and in some cases everything else in the reporting template makes it appear that the </w:t>
            </w:r>
            <w:r w:rsidR="00143207" w:rsidRPr="00A61E1E">
              <w:rPr>
                <w:rFonts w:cs="Calibri"/>
                <w:color w:val="FF0000"/>
              </w:rPr>
              <w:t>Provider</w:t>
            </w:r>
            <w:r w:rsidRPr="00A61E1E">
              <w:rPr>
                <w:rFonts w:cs="Calibri"/>
                <w:color w:val="FF0000"/>
              </w:rPr>
              <w:t xml:space="preserve"> did in fact intend to report 100% achieved. </w:t>
            </w:r>
            <w:r w:rsidR="00143207" w:rsidRPr="00A61E1E">
              <w:rPr>
                <w:rFonts w:cs="Calibri"/>
                <w:color w:val="FF0000"/>
              </w:rPr>
              <w:t>Providers</w:t>
            </w:r>
            <w:r w:rsidRPr="00A61E1E">
              <w:rPr>
                <w:rFonts w:cs="Calibri"/>
                <w:color w:val="FF0000"/>
              </w:rPr>
              <w:t xml:space="preserve"> </w:t>
            </w:r>
            <w:r w:rsidR="00143207" w:rsidRPr="00A61E1E">
              <w:rPr>
                <w:rFonts w:cs="Calibri"/>
                <w:color w:val="FF0000"/>
              </w:rPr>
              <w:t>should</w:t>
            </w:r>
            <w:r w:rsidRPr="00A61E1E">
              <w:rPr>
                <w:rFonts w:cs="Calibri"/>
                <w:color w:val="FF0000"/>
              </w:rPr>
              <w:t xml:space="preserve"> check the sign-off summaries to make sure they selected appropriately. If there is an error, </w:t>
            </w:r>
            <w:r w:rsidR="00143207" w:rsidRPr="00A61E1E">
              <w:rPr>
                <w:rFonts w:cs="Calibri"/>
                <w:color w:val="FF0000"/>
              </w:rPr>
              <w:t>Providers</w:t>
            </w:r>
            <w:r w:rsidRPr="00A61E1E">
              <w:rPr>
                <w:rFonts w:cs="Calibri"/>
                <w:color w:val="FF0000"/>
              </w:rPr>
              <w:t xml:space="preserve"> should let </w:t>
            </w:r>
            <w:r w:rsidR="00143207" w:rsidRPr="00A61E1E">
              <w:rPr>
                <w:rFonts w:cs="Calibri"/>
                <w:color w:val="FF0000"/>
              </w:rPr>
              <w:t>HHSC</w:t>
            </w:r>
            <w:r w:rsidRPr="00A61E1E">
              <w:rPr>
                <w:rFonts w:cs="Calibri"/>
                <w:color w:val="FF0000"/>
              </w:rPr>
              <w:t xml:space="preserve"> know as soon as possible that the metric should be changed to "100% achieved" and that the metric should be reviewed. </w:t>
            </w:r>
          </w:p>
          <w:p w:rsidR="00101132" w:rsidRPr="00A61E1E" w:rsidRDefault="00972E0B" w:rsidP="008B6FDC">
            <w:pPr>
              <w:pStyle w:val="Default"/>
              <w:numPr>
                <w:ilvl w:val="1"/>
                <w:numId w:val="14"/>
              </w:numPr>
              <w:rPr>
                <w:color w:val="FF0000"/>
                <w:sz w:val="22"/>
                <w:szCs w:val="22"/>
              </w:rPr>
            </w:pPr>
            <w:r w:rsidRPr="00A61E1E">
              <w:rPr>
                <w:color w:val="FF0000"/>
                <w:sz w:val="22"/>
                <w:szCs w:val="22"/>
              </w:rPr>
              <w:t xml:space="preserve">HHSC saw </w:t>
            </w:r>
            <w:r w:rsidR="00F02FBE" w:rsidRPr="00A61E1E">
              <w:rPr>
                <w:color w:val="FF0000"/>
                <w:sz w:val="22"/>
                <w:szCs w:val="22"/>
              </w:rPr>
              <w:t xml:space="preserve">evidence of potential PHI breaches in some documentation submitted. </w:t>
            </w:r>
            <w:r w:rsidR="00143207" w:rsidRPr="00A61E1E">
              <w:rPr>
                <w:color w:val="FF0000"/>
                <w:sz w:val="22"/>
                <w:szCs w:val="22"/>
              </w:rPr>
              <w:t>C</w:t>
            </w:r>
            <w:r w:rsidR="00F02FBE" w:rsidRPr="00A61E1E">
              <w:rPr>
                <w:color w:val="FF0000"/>
                <w:sz w:val="22"/>
                <w:szCs w:val="22"/>
              </w:rPr>
              <w:t xml:space="preserve">heck what </w:t>
            </w:r>
            <w:r w:rsidRPr="00A61E1E">
              <w:rPr>
                <w:color w:val="FF0000"/>
                <w:sz w:val="22"/>
                <w:szCs w:val="22"/>
              </w:rPr>
              <w:t xml:space="preserve">you </w:t>
            </w:r>
            <w:r w:rsidR="00F02FBE" w:rsidRPr="00A61E1E">
              <w:rPr>
                <w:color w:val="FF0000"/>
                <w:sz w:val="22"/>
                <w:szCs w:val="22"/>
              </w:rPr>
              <w:t xml:space="preserve">have submitted for PHI. HHSC will notify </w:t>
            </w:r>
            <w:r w:rsidR="00143207" w:rsidRPr="00A61E1E">
              <w:rPr>
                <w:color w:val="FF0000"/>
                <w:sz w:val="22"/>
                <w:szCs w:val="22"/>
              </w:rPr>
              <w:t>Providers</w:t>
            </w:r>
            <w:r w:rsidR="00F02FBE" w:rsidRPr="00A61E1E">
              <w:rPr>
                <w:color w:val="FF0000"/>
                <w:sz w:val="22"/>
                <w:szCs w:val="22"/>
              </w:rPr>
              <w:t xml:space="preserve"> when </w:t>
            </w:r>
            <w:r w:rsidRPr="00A61E1E">
              <w:rPr>
                <w:color w:val="FF0000"/>
                <w:sz w:val="22"/>
                <w:szCs w:val="22"/>
              </w:rPr>
              <w:t>they</w:t>
            </w:r>
            <w:r w:rsidR="00F02FBE" w:rsidRPr="00A61E1E">
              <w:rPr>
                <w:color w:val="FF0000"/>
                <w:sz w:val="22"/>
                <w:szCs w:val="22"/>
              </w:rPr>
              <w:t xml:space="preserve"> think there may be a potential PHI breach in documentation, but the burden will be on </w:t>
            </w:r>
            <w:r w:rsidR="00143207" w:rsidRPr="00A61E1E">
              <w:rPr>
                <w:color w:val="FF0000"/>
                <w:sz w:val="22"/>
                <w:szCs w:val="22"/>
              </w:rPr>
              <w:t>Providers</w:t>
            </w:r>
            <w:r w:rsidR="00F02FBE" w:rsidRPr="00A61E1E">
              <w:rPr>
                <w:color w:val="FF0000"/>
                <w:sz w:val="22"/>
                <w:szCs w:val="22"/>
              </w:rPr>
              <w:t xml:space="preserve"> to remediate any breach and notify HHSC about their remediation plans, per the reporting Companion document</w:t>
            </w:r>
            <w:r w:rsidR="008B6FDC">
              <w:rPr>
                <w:color w:val="FF0000"/>
                <w:sz w:val="22"/>
                <w:szCs w:val="22"/>
              </w:rPr>
              <w:t>.</w:t>
            </w:r>
          </w:p>
        </w:tc>
      </w:tr>
    </w:tbl>
    <w:p w:rsidR="00A61E1E" w:rsidRDefault="00A61E1E" w:rsidP="00A61E1E">
      <w:pPr>
        <w:spacing w:after="0" w:line="240" w:lineRule="auto"/>
        <w:rPr>
          <w:b/>
          <w:color w:val="FF0000"/>
          <w:u w:val="single"/>
        </w:rPr>
      </w:pPr>
    </w:p>
    <w:p w:rsidR="00143207" w:rsidRPr="00A61E1E" w:rsidRDefault="008D7EFC" w:rsidP="00A61E1E">
      <w:pPr>
        <w:spacing w:after="0" w:line="240" w:lineRule="auto"/>
        <w:rPr>
          <w:color w:val="FF0000"/>
          <w:u w:val="single"/>
        </w:rPr>
      </w:pPr>
      <w:r w:rsidRPr="00A61E1E">
        <w:rPr>
          <w:b/>
          <w:color w:val="FF0000"/>
          <w:u w:val="single"/>
        </w:rPr>
        <w:t xml:space="preserve">New 3-year </w:t>
      </w:r>
      <w:r w:rsidR="00A61E1E" w:rsidRPr="00A61E1E">
        <w:rPr>
          <w:b/>
          <w:color w:val="FF0000"/>
          <w:u w:val="single"/>
        </w:rPr>
        <w:t>P</w:t>
      </w:r>
      <w:r w:rsidRPr="00A61E1E">
        <w:rPr>
          <w:b/>
          <w:color w:val="FF0000"/>
          <w:u w:val="single"/>
        </w:rPr>
        <w:t>rojects</w:t>
      </w:r>
    </w:p>
    <w:p w:rsidR="00972E0B" w:rsidRPr="00A61E1E" w:rsidRDefault="008D7EFC" w:rsidP="00D1009C">
      <w:pPr>
        <w:spacing w:after="0" w:line="240" w:lineRule="auto"/>
        <w:ind w:left="360"/>
        <w:rPr>
          <w:color w:val="FF0000"/>
        </w:rPr>
      </w:pPr>
      <w:r w:rsidRPr="00A61E1E">
        <w:rPr>
          <w:color w:val="FF0000"/>
        </w:rPr>
        <w:t>Friday May 23</w:t>
      </w:r>
      <w:r w:rsidRPr="00A61E1E">
        <w:rPr>
          <w:color w:val="FF0000"/>
          <w:vertAlign w:val="superscript"/>
        </w:rPr>
        <w:t>rd</w:t>
      </w:r>
      <w:r w:rsidRPr="00A61E1E">
        <w:rPr>
          <w:color w:val="FF0000"/>
        </w:rPr>
        <w:t>, CMS sent initial letter of approval</w:t>
      </w:r>
      <w:r w:rsidR="00143207" w:rsidRPr="00A61E1E">
        <w:rPr>
          <w:color w:val="FF0000"/>
        </w:rPr>
        <w:t xml:space="preserve"> to RHP 8</w:t>
      </w:r>
      <w:r w:rsidRPr="00A61E1E">
        <w:rPr>
          <w:color w:val="FF0000"/>
        </w:rPr>
        <w:t>. Congra</w:t>
      </w:r>
      <w:r w:rsidR="00972E0B" w:rsidRPr="00A61E1E">
        <w:rPr>
          <w:color w:val="FF0000"/>
        </w:rPr>
        <w:t>t</w:t>
      </w:r>
      <w:r w:rsidRPr="00A61E1E">
        <w:rPr>
          <w:color w:val="FF0000"/>
        </w:rPr>
        <w:t xml:space="preserve">ulations to the following 3-year project </w:t>
      </w:r>
      <w:r w:rsidR="00143207" w:rsidRPr="00A61E1E">
        <w:rPr>
          <w:color w:val="FF0000"/>
        </w:rPr>
        <w:t>Providers</w:t>
      </w:r>
      <w:r w:rsidRPr="00A61E1E">
        <w:rPr>
          <w:color w:val="FF0000"/>
        </w:rPr>
        <w:t>:</w:t>
      </w:r>
      <w:r w:rsidR="00972E0B" w:rsidRPr="00A61E1E">
        <w:rPr>
          <w:color w:val="FF0000"/>
        </w:rPr>
        <w:t xml:space="preserve"> </w:t>
      </w:r>
      <w:r w:rsidRPr="00A61E1E">
        <w:rPr>
          <w:color w:val="FF0000"/>
        </w:rPr>
        <w:t>Central Counties</w:t>
      </w:r>
      <w:r w:rsidR="00972E0B" w:rsidRPr="00A61E1E">
        <w:rPr>
          <w:color w:val="FF0000"/>
        </w:rPr>
        <w:t>, Seton Harker Heights, and Williamson County and Cities Health District.</w:t>
      </w:r>
    </w:p>
    <w:p w:rsidR="00A61E1E" w:rsidRDefault="00A61E1E" w:rsidP="00A61E1E">
      <w:pPr>
        <w:spacing w:after="0" w:line="240" w:lineRule="auto"/>
        <w:rPr>
          <w:b/>
          <w:color w:val="FF0000"/>
          <w:u w:val="single"/>
        </w:rPr>
      </w:pPr>
    </w:p>
    <w:p w:rsidR="004E731B" w:rsidRPr="00A61E1E" w:rsidRDefault="004E731B" w:rsidP="00A61E1E">
      <w:pPr>
        <w:spacing w:after="0" w:line="240" w:lineRule="auto"/>
        <w:rPr>
          <w:color w:val="FF0000"/>
          <w:u w:val="single"/>
        </w:rPr>
      </w:pPr>
      <w:r w:rsidRPr="00A61E1E">
        <w:rPr>
          <w:b/>
          <w:color w:val="FF0000"/>
          <w:u w:val="single"/>
        </w:rPr>
        <w:t>Category 3 Review</w:t>
      </w:r>
      <w:r w:rsidRPr="00A61E1E">
        <w:rPr>
          <w:color w:val="FF0000"/>
          <w:u w:val="single"/>
        </w:rPr>
        <w:t xml:space="preserve"> </w:t>
      </w:r>
    </w:p>
    <w:p w:rsidR="004E731B" w:rsidRPr="00A61E1E" w:rsidRDefault="004E731B" w:rsidP="004E731B">
      <w:pPr>
        <w:pStyle w:val="ListParagraph"/>
        <w:numPr>
          <w:ilvl w:val="0"/>
          <w:numId w:val="31"/>
        </w:numPr>
        <w:spacing w:after="0" w:line="240" w:lineRule="auto"/>
        <w:rPr>
          <w:color w:val="FF0000"/>
        </w:rPr>
      </w:pPr>
      <w:r w:rsidRPr="00A61E1E">
        <w:rPr>
          <w:color w:val="FF0000"/>
        </w:rPr>
        <w:t xml:space="preserve">HHSC continues to review Category 3 selections and staff is providing TA as needed to prepare for the next step of establishing baselines for October reporting. Much of this TA will be provided in the feedback forms that all </w:t>
      </w:r>
      <w:r w:rsidR="00143207" w:rsidRPr="00A61E1E">
        <w:rPr>
          <w:color w:val="FF0000"/>
        </w:rPr>
        <w:t>Providers</w:t>
      </w:r>
      <w:r w:rsidRPr="00A61E1E">
        <w:rPr>
          <w:color w:val="FF0000"/>
        </w:rPr>
        <w:t xml:space="preserve"> will receive form HHSC specific to the outcomes selected for each Category 1 or 2 project.</w:t>
      </w:r>
    </w:p>
    <w:p w:rsidR="004E731B" w:rsidRPr="00A61E1E" w:rsidRDefault="004E731B" w:rsidP="00D1009C">
      <w:pPr>
        <w:pStyle w:val="ListParagraph"/>
        <w:numPr>
          <w:ilvl w:val="0"/>
          <w:numId w:val="31"/>
        </w:numPr>
        <w:spacing w:after="0" w:line="240" w:lineRule="auto"/>
        <w:rPr>
          <w:color w:val="FF0000"/>
        </w:rPr>
      </w:pPr>
      <w:r w:rsidRPr="00A61E1E">
        <w:rPr>
          <w:color w:val="FF0000"/>
        </w:rPr>
        <w:t>Anchor team sent out draft version</w:t>
      </w:r>
      <w:r w:rsidRPr="008B6FDC">
        <w:rPr>
          <w:color w:val="FF0000"/>
        </w:rPr>
        <w:t xml:space="preserve"> of Cat 3 RHP Planning Protocol</w:t>
      </w:r>
      <w:r w:rsidRPr="00A61E1E">
        <w:rPr>
          <w:color w:val="FF0000"/>
        </w:rPr>
        <w:t xml:space="preserve"> to </w:t>
      </w:r>
      <w:r w:rsidR="00143207" w:rsidRPr="00A61E1E">
        <w:rPr>
          <w:color w:val="FF0000"/>
        </w:rPr>
        <w:t>Providers</w:t>
      </w:r>
      <w:r w:rsidRPr="00A61E1E">
        <w:rPr>
          <w:color w:val="FF0000"/>
        </w:rPr>
        <w:t xml:space="preserve"> on Monday, May 19</w:t>
      </w:r>
      <w:r w:rsidRPr="00A61E1E">
        <w:rPr>
          <w:color w:val="FF0000"/>
          <w:vertAlign w:val="superscript"/>
        </w:rPr>
        <w:t>th</w:t>
      </w:r>
      <w:r w:rsidRPr="00A61E1E">
        <w:rPr>
          <w:color w:val="FF0000"/>
        </w:rPr>
        <w:t xml:space="preserve">. </w:t>
      </w:r>
    </w:p>
    <w:p w:rsidR="00A61E1E" w:rsidRDefault="00A61E1E" w:rsidP="00A61E1E">
      <w:pPr>
        <w:spacing w:after="0" w:line="240" w:lineRule="auto"/>
        <w:rPr>
          <w:b/>
          <w:color w:val="FF0000"/>
          <w:u w:val="single"/>
        </w:rPr>
      </w:pPr>
    </w:p>
    <w:p w:rsidR="004E731B" w:rsidRPr="00A61E1E" w:rsidRDefault="004E731B" w:rsidP="00A61E1E">
      <w:pPr>
        <w:spacing w:after="0" w:line="240" w:lineRule="auto"/>
        <w:rPr>
          <w:b/>
          <w:color w:val="FF0000"/>
          <w:u w:val="single"/>
        </w:rPr>
      </w:pPr>
      <w:r w:rsidRPr="00A61E1E">
        <w:rPr>
          <w:b/>
          <w:color w:val="FF0000"/>
          <w:u w:val="single"/>
        </w:rPr>
        <w:t>DY 4/5 Valuation</w:t>
      </w:r>
    </w:p>
    <w:p w:rsidR="00A61E1E" w:rsidRPr="008B6FDC" w:rsidRDefault="004E731B" w:rsidP="008B6FDC">
      <w:pPr>
        <w:pStyle w:val="ListParagraph"/>
        <w:numPr>
          <w:ilvl w:val="0"/>
          <w:numId w:val="43"/>
        </w:numPr>
        <w:spacing w:after="0" w:line="240" w:lineRule="auto"/>
        <w:rPr>
          <w:color w:val="FF0000"/>
        </w:rPr>
      </w:pPr>
      <w:r w:rsidRPr="00A61E1E">
        <w:rPr>
          <w:color w:val="FF0000"/>
        </w:rPr>
        <w:t xml:space="preserve">CMS has confirmed that they do not have any concerns with the DY4-5 valuations for projects that were not flagged as state or CMS outliers. However, DY4 &amp; DY5 values for ay project may change based on the findings of the mid-point assessment. HHSC has received email confirmation from CMS to this point. </w:t>
      </w:r>
    </w:p>
    <w:p w:rsidR="00A61E1E" w:rsidRDefault="00A61E1E" w:rsidP="00A61E1E">
      <w:pPr>
        <w:spacing w:after="0" w:line="240" w:lineRule="auto"/>
        <w:jc w:val="both"/>
        <w:rPr>
          <w:b/>
          <w:color w:val="FF0000"/>
          <w:u w:val="single"/>
        </w:rPr>
      </w:pPr>
    </w:p>
    <w:p w:rsidR="00A61E1E" w:rsidRDefault="00A61E1E" w:rsidP="00A61E1E">
      <w:pPr>
        <w:spacing w:after="0" w:line="240" w:lineRule="auto"/>
        <w:jc w:val="both"/>
        <w:rPr>
          <w:b/>
          <w:color w:val="FF0000"/>
          <w:u w:val="single"/>
        </w:rPr>
      </w:pPr>
    </w:p>
    <w:p w:rsidR="007124A1" w:rsidRPr="00A61E1E" w:rsidRDefault="007124A1" w:rsidP="00A61E1E">
      <w:pPr>
        <w:spacing w:after="0" w:line="240" w:lineRule="auto"/>
        <w:jc w:val="both"/>
        <w:rPr>
          <w:color w:val="FF0000"/>
          <w:u w:val="single"/>
        </w:rPr>
      </w:pPr>
      <w:r w:rsidRPr="00A61E1E">
        <w:rPr>
          <w:b/>
          <w:color w:val="FF0000"/>
          <w:u w:val="single"/>
        </w:rPr>
        <w:t>DY3 IGT for DSRIP Monitoring</w:t>
      </w:r>
    </w:p>
    <w:p w:rsidR="007124A1" w:rsidRPr="00A61E1E" w:rsidRDefault="007124A1" w:rsidP="007124A1">
      <w:pPr>
        <w:pStyle w:val="ListParagraph"/>
        <w:numPr>
          <w:ilvl w:val="0"/>
          <w:numId w:val="39"/>
        </w:numPr>
        <w:spacing w:after="0" w:line="240" w:lineRule="auto"/>
        <w:rPr>
          <w:color w:val="FF0000"/>
        </w:rPr>
      </w:pPr>
      <w:r w:rsidRPr="00A61E1E">
        <w:rPr>
          <w:color w:val="FF0000"/>
        </w:rPr>
        <w:t xml:space="preserve">HHSC sent an email letting anchors know that HHSC plans to request $4 million IGT to support two forthcoming contracts-one for DSRIP compliance monitoring and one for DSRIP financial monitoring. The Anchor team forwarded this to </w:t>
      </w:r>
      <w:r w:rsidR="00143207" w:rsidRPr="00A61E1E">
        <w:rPr>
          <w:color w:val="FF0000"/>
        </w:rPr>
        <w:t>Providers</w:t>
      </w:r>
      <w:r w:rsidRPr="00A61E1E">
        <w:rPr>
          <w:color w:val="FF0000"/>
        </w:rPr>
        <w:t xml:space="preserve"> on Tuesday, May 13</w:t>
      </w:r>
      <w:r w:rsidRPr="00A61E1E">
        <w:rPr>
          <w:color w:val="FF0000"/>
          <w:vertAlign w:val="superscript"/>
        </w:rPr>
        <w:t>th</w:t>
      </w:r>
      <w:r w:rsidRPr="00A61E1E">
        <w:rPr>
          <w:color w:val="FF0000"/>
        </w:rPr>
        <w:t xml:space="preserve">. </w:t>
      </w:r>
    </w:p>
    <w:p w:rsidR="007124A1" w:rsidRPr="00A61E1E" w:rsidRDefault="007124A1" w:rsidP="007124A1">
      <w:pPr>
        <w:pStyle w:val="ListParagraph"/>
        <w:numPr>
          <w:ilvl w:val="0"/>
          <w:numId w:val="39"/>
        </w:numPr>
        <w:spacing w:after="0" w:line="240" w:lineRule="auto"/>
        <w:rPr>
          <w:color w:val="FF0000"/>
        </w:rPr>
      </w:pPr>
      <w:r w:rsidRPr="00A61E1E">
        <w:rPr>
          <w:color w:val="FF0000"/>
        </w:rPr>
        <w:t>The IGT for monitoring will be requested at the time of the July DSRIP payment regardless of the whether IGT is due for DSRIP payments. If the full monitor amount is not submitted in July, the HHSC will request the remaining amount in January 2015.</w:t>
      </w:r>
    </w:p>
    <w:p w:rsidR="00A61E1E" w:rsidRDefault="00A61E1E" w:rsidP="00A61E1E">
      <w:pPr>
        <w:spacing w:after="0" w:line="240" w:lineRule="auto"/>
        <w:rPr>
          <w:b/>
          <w:color w:val="FF0000"/>
          <w:u w:val="single"/>
        </w:rPr>
      </w:pPr>
    </w:p>
    <w:p w:rsidR="007124A1" w:rsidRPr="00A61E1E" w:rsidRDefault="007124A1" w:rsidP="00A61E1E">
      <w:pPr>
        <w:spacing w:after="0" w:line="240" w:lineRule="auto"/>
        <w:rPr>
          <w:b/>
          <w:color w:val="FF0000"/>
          <w:u w:val="single"/>
        </w:rPr>
      </w:pPr>
      <w:r w:rsidRPr="00A61E1E">
        <w:rPr>
          <w:b/>
          <w:color w:val="FF0000"/>
          <w:u w:val="single"/>
        </w:rPr>
        <w:t>PFM Protocol Changes</w:t>
      </w:r>
    </w:p>
    <w:p w:rsidR="00143207" w:rsidRPr="00A61E1E" w:rsidRDefault="003E4374" w:rsidP="00143207">
      <w:pPr>
        <w:pStyle w:val="ListParagraph"/>
        <w:numPr>
          <w:ilvl w:val="0"/>
          <w:numId w:val="40"/>
        </w:numPr>
        <w:spacing w:after="0" w:line="240" w:lineRule="auto"/>
        <w:rPr>
          <w:color w:val="FF0000"/>
        </w:rPr>
      </w:pPr>
      <w:r w:rsidRPr="00A61E1E">
        <w:rPr>
          <w:color w:val="FF0000"/>
        </w:rPr>
        <w:t>On Friday, May 16</w:t>
      </w:r>
      <w:r w:rsidRPr="00A61E1E">
        <w:rPr>
          <w:color w:val="FF0000"/>
          <w:vertAlign w:val="superscript"/>
        </w:rPr>
        <w:t>th</w:t>
      </w:r>
      <w:r w:rsidRPr="00A61E1E">
        <w:rPr>
          <w:color w:val="FF0000"/>
        </w:rPr>
        <w:t xml:space="preserve">, HHSC provided to the </w:t>
      </w:r>
      <w:r w:rsidR="00143207" w:rsidRPr="00A61E1E">
        <w:rPr>
          <w:color w:val="FF0000"/>
        </w:rPr>
        <w:t>A</w:t>
      </w:r>
      <w:r w:rsidRPr="00A61E1E">
        <w:rPr>
          <w:color w:val="FF0000"/>
        </w:rPr>
        <w:t>nchors and the Executive Waiver Committee a draft of the PFM Protocol tha</w:t>
      </w:r>
      <w:r w:rsidR="00143207" w:rsidRPr="00A61E1E">
        <w:rPr>
          <w:color w:val="FF0000"/>
        </w:rPr>
        <w:t xml:space="preserve">t they had been discussing with CMS. </w:t>
      </w:r>
    </w:p>
    <w:p w:rsidR="00A61E1E" w:rsidRDefault="00143207" w:rsidP="008B6FDC">
      <w:pPr>
        <w:pStyle w:val="ListParagraph"/>
        <w:numPr>
          <w:ilvl w:val="0"/>
          <w:numId w:val="40"/>
        </w:numPr>
        <w:spacing w:after="0" w:line="240" w:lineRule="auto"/>
        <w:rPr>
          <w:color w:val="FF0000"/>
        </w:rPr>
      </w:pPr>
      <w:r w:rsidRPr="00A61E1E">
        <w:rPr>
          <w:color w:val="FF0000"/>
        </w:rPr>
        <w:t>On Friday, May 23</w:t>
      </w:r>
      <w:r w:rsidRPr="00A61E1E">
        <w:rPr>
          <w:color w:val="FF0000"/>
          <w:vertAlign w:val="superscript"/>
        </w:rPr>
        <w:t>rd</w:t>
      </w:r>
      <w:r w:rsidRPr="00A61E1E">
        <w:rPr>
          <w:color w:val="FF0000"/>
        </w:rPr>
        <w:t xml:space="preserve">, HHSC emailed Anchors letting them know HHSC received notice from CMS Wednesday (May 21) that the changes to the Program Funding and Mechanics Protocol and the RHP Planning Protocol have been approved. HHSC has formatting corrections to make before posting the information on the website. </w:t>
      </w:r>
    </w:p>
    <w:p w:rsidR="008B6FDC" w:rsidRPr="008B6FDC" w:rsidRDefault="008B6FDC" w:rsidP="008B6FDC">
      <w:pPr>
        <w:spacing w:after="0" w:line="240" w:lineRule="auto"/>
        <w:ind w:left="360"/>
        <w:rPr>
          <w:color w:val="FF0000"/>
        </w:rPr>
      </w:pPr>
    </w:p>
    <w:p w:rsidR="006959A2" w:rsidRDefault="00AC17A3" w:rsidP="00143207">
      <w:pPr>
        <w:spacing w:after="0" w:line="240" w:lineRule="auto"/>
        <w:ind w:left="360"/>
        <w:rPr>
          <w:b/>
          <w:sz w:val="28"/>
          <w:szCs w:val="28"/>
        </w:rPr>
      </w:pPr>
      <w:r>
        <w:rPr>
          <w:b/>
          <w:sz w:val="28"/>
          <w:szCs w:val="28"/>
        </w:rPr>
        <w:t xml:space="preserve">III. </w:t>
      </w:r>
      <w:r w:rsidR="003E5444" w:rsidRPr="004E731B">
        <w:rPr>
          <w:b/>
          <w:sz w:val="28"/>
          <w:szCs w:val="28"/>
        </w:rPr>
        <w:t>Q&amp;A</w:t>
      </w:r>
    </w:p>
    <w:p w:rsidR="006959A2" w:rsidRPr="00A61E1E" w:rsidRDefault="006959A2" w:rsidP="006959A2">
      <w:pPr>
        <w:pStyle w:val="ListParagraph"/>
        <w:numPr>
          <w:ilvl w:val="0"/>
          <w:numId w:val="33"/>
        </w:numPr>
        <w:spacing w:after="0" w:line="240" w:lineRule="auto"/>
        <w:rPr>
          <w:b/>
          <w:color w:val="FF0000"/>
        </w:rPr>
      </w:pPr>
      <w:r w:rsidRPr="00A61E1E">
        <w:rPr>
          <w:color w:val="FF0000"/>
        </w:rPr>
        <w:t>Q</w:t>
      </w:r>
      <w:r w:rsidR="00143207" w:rsidRPr="00A61E1E">
        <w:rPr>
          <w:color w:val="FF0000"/>
        </w:rPr>
        <w:t>uestion</w:t>
      </w:r>
      <w:r w:rsidRPr="00A61E1E">
        <w:rPr>
          <w:color w:val="FF0000"/>
        </w:rPr>
        <w:t xml:space="preserve">: Eldon with Central Counties – Their new 3-year project was approved for DY3 only. </w:t>
      </w:r>
      <w:r w:rsidR="00143207" w:rsidRPr="00A61E1E">
        <w:rPr>
          <w:color w:val="FF0000"/>
        </w:rPr>
        <w:t>Providers</w:t>
      </w:r>
      <w:r w:rsidRPr="00A61E1E">
        <w:rPr>
          <w:color w:val="FF0000"/>
        </w:rPr>
        <w:t xml:space="preserve"> will be notified of DY4-5 approvals after mid-point assessment takes place. When will mid-point assessment take place? </w:t>
      </w:r>
    </w:p>
    <w:p w:rsidR="00143207" w:rsidRPr="00A61E1E" w:rsidRDefault="006959A2" w:rsidP="00143207">
      <w:pPr>
        <w:pStyle w:val="ListParagraph"/>
        <w:spacing w:after="0" w:line="240" w:lineRule="auto"/>
        <w:rPr>
          <w:color w:val="FF0000"/>
        </w:rPr>
      </w:pPr>
      <w:r w:rsidRPr="00A61E1E">
        <w:rPr>
          <w:color w:val="FF0000"/>
        </w:rPr>
        <w:t>A</w:t>
      </w:r>
      <w:r w:rsidR="00143207" w:rsidRPr="00A61E1E">
        <w:rPr>
          <w:color w:val="FF0000"/>
        </w:rPr>
        <w:t>nswer</w:t>
      </w:r>
      <w:r w:rsidRPr="00A61E1E">
        <w:rPr>
          <w:color w:val="FF0000"/>
        </w:rPr>
        <w:t xml:space="preserve">: A mid-point assessment vendor has not been named. We do not have a clear picture of which </w:t>
      </w:r>
      <w:r w:rsidR="00143207" w:rsidRPr="00A61E1E">
        <w:rPr>
          <w:color w:val="FF0000"/>
        </w:rPr>
        <w:t>Providers</w:t>
      </w:r>
      <w:r w:rsidRPr="00A61E1E">
        <w:rPr>
          <w:color w:val="FF0000"/>
        </w:rPr>
        <w:t xml:space="preserve"> will be contacted, </w:t>
      </w:r>
      <w:r w:rsidR="00143207" w:rsidRPr="00A61E1E">
        <w:rPr>
          <w:color w:val="FF0000"/>
        </w:rPr>
        <w:t>or</w:t>
      </w:r>
      <w:r w:rsidRPr="00A61E1E">
        <w:rPr>
          <w:color w:val="FF0000"/>
        </w:rPr>
        <w:t xml:space="preserve"> the types of questions to be asked. The Anchor team will </w:t>
      </w:r>
      <w:r w:rsidR="00143207" w:rsidRPr="00A61E1E">
        <w:rPr>
          <w:color w:val="FF0000"/>
        </w:rPr>
        <w:t>certainly share any information received from HHSC regarding the mid-point assessment with Providers.</w:t>
      </w:r>
    </w:p>
    <w:p w:rsidR="006959A2" w:rsidRPr="00A61E1E" w:rsidRDefault="006959A2" w:rsidP="00143207">
      <w:pPr>
        <w:pStyle w:val="ListParagraph"/>
        <w:numPr>
          <w:ilvl w:val="0"/>
          <w:numId w:val="33"/>
        </w:numPr>
        <w:spacing w:after="0" w:line="240" w:lineRule="auto"/>
        <w:rPr>
          <w:b/>
          <w:color w:val="FF0000"/>
        </w:rPr>
      </w:pPr>
      <w:r w:rsidRPr="00A61E1E">
        <w:rPr>
          <w:color w:val="FF0000"/>
        </w:rPr>
        <w:t>Q</w:t>
      </w:r>
      <w:r w:rsidR="00143207" w:rsidRPr="00A61E1E">
        <w:rPr>
          <w:color w:val="FF0000"/>
        </w:rPr>
        <w:t>uestion</w:t>
      </w:r>
      <w:r w:rsidRPr="00A61E1E">
        <w:rPr>
          <w:color w:val="FF0000"/>
        </w:rPr>
        <w:t>: Eldon at Central Counties also inquired about the status of exception requested for using an evaluation tool for the Temple ISD not li</w:t>
      </w:r>
      <w:r w:rsidR="00143207" w:rsidRPr="00A61E1E">
        <w:rPr>
          <w:color w:val="FF0000"/>
        </w:rPr>
        <w:t>sted on the Cat 3 protocol.</w:t>
      </w:r>
    </w:p>
    <w:p w:rsidR="001271BF" w:rsidRDefault="006959A2" w:rsidP="008B6FDC">
      <w:pPr>
        <w:pStyle w:val="ListParagraph"/>
        <w:spacing w:after="0" w:line="240" w:lineRule="auto"/>
        <w:rPr>
          <w:color w:val="FF0000"/>
        </w:rPr>
      </w:pPr>
      <w:r w:rsidRPr="00A61E1E">
        <w:rPr>
          <w:color w:val="FF0000"/>
        </w:rPr>
        <w:t xml:space="preserve">A: The </w:t>
      </w:r>
      <w:r w:rsidR="00143207" w:rsidRPr="00A61E1E">
        <w:rPr>
          <w:color w:val="FF0000"/>
        </w:rPr>
        <w:t>A</w:t>
      </w:r>
      <w:r w:rsidRPr="00A61E1E">
        <w:rPr>
          <w:color w:val="FF0000"/>
        </w:rPr>
        <w:t xml:space="preserve">nchor team requested to address this offline since it was </w:t>
      </w:r>
      <w:r w:rsidR="00143207" w:rsidRPr="00A61E1E">
        <w:rPr>
          <w:color w:val="FF0000"/>
        </w:rPr>
        <w:t>Provider</w:t>
      </w:r>
      <w:r w:rsidRPr="00A61E1E">
        <w:rPr>
          <w:color w:val="FF0000"/>
        </w:rPr>
        <w:t>-specific.</w:t>
      </w:r>
    </w:p>
    <w:p w:rsidR="008B6FDC" w:rsidRPr="008B6FDC" w:rsidRDefault="008B6FDC" w:rsidP="008B6FDC">
      <w:pPr>
        <w:spacing w:after="0" w:line="240" w:lineRule="auto"/>
        <w:rPr>
          <w:b/>
          <w:color w:val="FF0000"/>
        </w:rPr>
      </w:pPr>
    </w:p>
    <w:p w:rsidR="001271BF" w:rsidRPr="00AC17A3" w:rsidRDefault="00AC17A3" w:rsidP="00AC17A3">
      <w:pPr>
        <w:spacing w:after="0" w:line="240" w:lineRule="auto"/>
        <w:ind w:left="360"/>
        <w:rPr>
          <w:b/>
          <w:sz w:val="28"/>
          <w:szCs w:val="28"/>
        </w:rPr>
      </w:pPr>
      <w:r>
        <w:rPr>
          <w:b/>
          <w:sz w:val="28"/>
          <w:szCs w:val="28"/>
        </w:rPr>
        <w:t xml:space="preserve">IV. </w:t>
      </w:r>
      <w:r w:rsidR="00143207" w:rsidRPr="00AC17A3">
        <w:rPr>
          <w:b/>
          <w:sz w:val="28"/>
          <w:szCs w:val="28"/>
        </w:rPr>
        <w:t>Providers</w:t>
      </w:r>
      <w:r w:rsidR="003E5444" w:rsidRPr="00AC17A3">
        <w:rPr>
          <w:b/>
          <w:sz w:val="28"/>
          <w:szCs w:val="28"/>
        </w:rPr>
        <w:t xml:space="preserve"> Share Lessons Learned/Best Practices on RHP 8 Projects</w:t>
      </w:r>
    </w:p>
    <w:p w:rsidR="001837DA" w:rsidRPr="00A61E1E" w:rsidRDefault="001271BF" w:rsidP="00A61E1E">
      <w:pPr>
        <w:pStyle w:val="ListParagraph"/>
        <w:spacing w:after="0" w:line="240" w:lineRule="auto"/>
        <w:rPr>
          <w:color w:val="FF0000"/>
        </w:rPr>
      </w:pPr>
      <w:r w:rsidRPr="00A61E1E">
        <w:rPr>
          <w:color w:val="FF0000"/>
        </w:rPr>
        <w:t>Updates on lessons learned</w:t>
      </w:r>
      <w:r w:rsidR="001837DA" w:rsidRPr="00A61E1E">
        <w:rPr>
          <w:color w:val="FF0000"/>
        </w:rPr>
        <w:t>/best practices/challenges</w:t>
      </w:r>
      <w:r w:rsidRPr="00A61E1E">
        <w:rPr>
          <w:color w:val="FF0000"/>
        </w:rPr>
        <w:t xml:space="preserve"> up to this point.</w:t>
      </w:r>
    </w:p>
    <w:p w:rsidR="001837DA" w:rsidRPr="00A61E1E" w:rsidRDefault="001837DA" w:rsidP="00A61E1E">
      <w:pPr>
        <w:pStyle w:val="ListParagraph"/>
        <w:numPr>
          <w:ilvl w:val="0"/>
          <w:numId w:val="33"/>
        </w:numPr>
        <w:spacing w:after="0" w:line="240" w:lineRule="auto"/>
        <w:rPr>
          <w:color w:val="FF0000"/>
        </w:rPr>
      </w:pPr>
      <w:r w:rsidRPr="00A61E1E">
        <w:rPr>
          <w:color w:val="FF0000"/>
        </w:rPr>
        <w:t>Williamson County and Cities Health District – Mary Faith Sterk</w:t>
      </w:r>
    </w:p>
    <w:p w:rsidR="001837DA" w:rsidRPr="00A61E1E" w:rsidRDefault="001837DA" w:rsidP="00A61E1E">
      <w:pPr>
        <w:pStyle w:val="ListParagraph"/>
        <w:spacing w:after="0" w:line="240" w:lineRule="auto"/>
        <w:rPr>
          <w:color w:val="FF0000"/>
        </w:rPr>
      </w:pPr>
      <w:r w:rsidRPr="00A61E1E">
        <w:rPr>
          <w:color w:val="FF0000"/>
        </w:rPr>
        <w:t>Their challenge has been communicating a “unified vision” of their DSRIP projects as a whole for their “Operation Transformation” community/staff outreach and marketing initiatives.</w:t>
      </w:r>
    </w:p>
    <w:p w:rsidR="001837DA" w:rsidRPr="00A61E1E" w:rsidRDefault="001837DA" w:rsidP="00A61E1E">
      <w:pPr>
        <w:pStyle w:val="ListParagraph"/>
        <w:numPr>
          <w:ilvl w:val="0"/>
          <w:numId w:val="33"/>
        </w:numPr>
        <w:spacing w:after="0" w:line="240" w:lineRule="auto"/>
        <w:rPr>
          <w:color w:val="FF0000"/>
        </w:rPr>
      </w:pPr>
      <w:r w:rsidRPr="00A61E1E">
        <w:rPr>
          <w:color w:val="FF0000"/>
        </w:rPr>
        <w:t>Center for Life Resources  (CFLR)–Joey Smith</w:t>
      </w:r>
    </w:p>
    <w:p w:rsidR="00A61E1E" w:rsidRPr="008B6FDC" w:rsidRDefault="001837DA" w:rsidP="008B6FDC">
      <w:pPr>
        <w:pStyle w:val="ListParagraph"/>
        <w:spacing w:after="0" w:line="240" w:lineRule="auto"/>
        <w:rPr>
          <w:color w:val="FF0000"/>
        </w:rPr>
      </w:pPr>
      <w:r w:rsidRPr="00A61E1E">
        <w:rPr>
          <w:color w:val="FF0000"/>
        </w:rPr>
        <w:t>CFLR had a successful meeting with State Representative</w:t>
      </w:r>
      <w:r w:rsidR="00143207" w:rsidRPr="00A61E1E">
        <w:rPr>
          <w:color w:val="FF0000"/>
        </w:rPr>
        <w:t xml:space="preserve"> Sheffield</w:t>
      </w:r>
      <w:r w:rsidRPr="00A61E1E">
        <w:rPr>
          <w:color w:val="FF0000"/>
        </w:rPr>
        <w:t>. CFLR explained the IGT process and showed the direct impact their DSRIP projects have had on the c</w:t>
      </w:r>
      <w:r w:rsidR="00143207" w:rsidRPr="00A61E1E">
        <w:rPr>
          <w:color w:val="FF0000"/>
        </w:rPr>
        <w:t xml:space="preserve">ommunities in RHP 8, 11 and 13. </w:t>
      </w:r>
      <w:r w:rsidRPr="00A61E1E">
        <w:rPr>
          <w:color w:val="FF0000"/>
        </w:rPr>
        <w:t xml:space="preserve">Another success has been overcoming the internet broadband challenges in this rural area. CFLR now has consistent internet access for their </w:t>
      </w:r>
      <w:r w:rsidR="006959A2" w:rsidRPr="00A61E1E">
        <w:rPr>
          <w:color w:val="FF0000"/>
        </w:rPr>
        <w:t xml:space="preserve">psychiatric </w:t>
      </w:r>
      <w:proofErr w:type="spellStart"/>
      <w:r w:rsidRPr="00A61E1E">
        <w:rPr>
          <w:color w:val="FF0000"/>
        </w:rPr>
        <w:t>telemed</w:t>
      </w:r>
      <w:proofErr w:type="spellEnd"/>
      <w:r w:rsidRPr="00A61E1E">
        <w:rPr>
          <w:color w:val="FF0000"/>
        </w:rPr>
        <w:t xml:space="preserve"> projects in each RHP served, having started in RHP 11.</w:t>
      </w:r>
    </w:p>
    <w:p w:rsidR="00537D42" w:rsidRPr="00A61E1E" w:rsidRDefault="00D90301" w:rsidP="007C180A">
      <w:pPr>
        <w:spacing w:after="0" w:line="240" w:lineRule="auto"/>
        <w:rPr>
          <w:b/>
          <w:color w:val="FF0000"/>
        </w:rPr>
      </w:pPr>
      <w:r w:rsidRPr="00A61E1E">
        <w:rPr>
          <w:b/>
          <w:color w:val="FF0000"/>
        </w:rPr>
        <w:t>Reminders:</w:t>
      </w:r>
    </w:p>
    <w:p w:rsidR="00D54275" w:rsidRPr="00A61E1E" w:rsidRDefault="00D54275" w:rsidP="00A61E1E">
      <w:pPr>
        <w:spacing w:after="0" w:line="240" w:lineRule="auto"/>
        <w:rPr>
          <w:color w:val="FF0000"/>
        </w:rPr>
      </w:pPr>
      <w:r w:rsidRPr="00A61E1E">
        <w:rPr>
          <w:color w:val="FF0000"/>
        </w:rPr>
        <w:t>Contact the Anchor Team if you</w:t>
      </w:r>
      <w:r w:rsidR="005905B7" w:rsidRPr="00A61E1E">
        <w:rPr>
          <w:color w:val="FF0000"/>
        </w:rPr>
        <w:t>:</w:t>
      </w:r>
    </w:p>
    <w:p w:rsidR="00D54275" w:rsidRPr="00A61E1E" w:rsidRDefault="005905B7" w:rsidP="00A61E1E">
      <w:pPr>
        <w:pStyle w:val="ListParagraph"/>
        <w:numPr>
          <w:ilvl w:val="0"/>
          <w:numId w:val="44"/>
        </w:numPr>
        <w:spacing w:after="0" w:line="240" w:lineRule="auto"/>
        <w:rPr>
          <w:color w:val="FF0000"/>
        </w:rPr>
      </w:pPr>
      <w:r w:rsidRPr="00A61E1E">
        <w:rPr>
          <w:color w:val="FF0000"/>
        </w:rPr>
        <w:t>H</w:t>
      </w:r>
      <w:r w:rsidR="00D54275" w:rsidRPr="00A61E1E">
        <w:rPr>
          <w:color w:val="FF0000"/>
        </w:rPr>
        <w:t>ave</w:t>
      </w:r>
      <w:r w:rsidRPr="00A61E1E">
        <w:rPr>
          <w:color w:val="FF0000"/>
        </w:rPr>
        <w:t xml:space="preserve"> celebrations, new</w:t>
      </w:r>
      <w:r w:rsidR="00D54275" w:rsidRPr="00A61E1E">
        <w:rPr>
          <w:color w:val="FF0000"/>
        </w:rPr>
        <w:t xml:space="preserve">, success stories, </w:t>
      </w:r>
      <w:r w:rsidRPr="00A61E1E">
        <w:rPr>
          <w:color w:val="FF0000"/>
        </w:rPr>
        <w:t>etc. for the monthly newsletter;</w:t>
      </w:r>
    </w:p>
    <w:p w:rsidR="00D54275" w:rsidRPr="00A61E1E" w:rsidRDefault="005905B7" w:rsidP="00A61E1E">
      <w:pPr>
        <w:pStyle w:val="ListParagraph"/>
        <w:numPr>
          <w:ilvl w:val="0"/>
          <w:numId w:val="44"/>
        </w:numPr>
        <w:spacing w:after="0" w:line="240" w:lineRule="auto"/>
        <w:rPr>
          <w:color w:val="FF0000"/>
        </w:rPr>
      </w:pPr>
      <w:r w:rsidRPr="00A61E1E">
        <w:rPr>
          <w:color w:val="FF0000"/>
        </w:rPr>
        <w:t>W</w:t>
      </w:r>
      <w:r w:rsidR="00D54275" w:rsidRPr="00A61E1E">
        <w:rPr>
          <w:color w:val="FF0000"/>
        </w:rPr>
        <w:t xml:space="preserve">ould </w:t>
      </w:r>
      <w:r w:rsidRPr="00A61E1E">
        <w:rPr>
          <w:color w:val="FF0000"/>
        </w:rPr>
        <w:t>like to participate in a cohort; and/or</w:t>
      </w:r>
    </w:p>
    <w:p w:rsidR="00D54275" w:rsidRDefault="005905B7" w:rsidP="008B6FDC">
      <w:pPr>
        <w:pStyle w:val="ListParagraph"/>
        <w:numPr>
          <w:ilvl w:val="0"/>
          <w:numId w:val="44"/>
        </w:numPr>
        <w:spacing w:after="0" w:line="240" w:lineRule="auto"/>
        <w:rPr>
          <w:color w:val="FF0000"/>
        </w:rPr>
      </w:pPr>
      <w:r w:rsidRPr="00A61E1E">
        <w:rPr>
          <w:color w:val="FF0000"/>
        </w:rPr>
        <w:t>H</w:t>
      </w:r>
      <w:r w:rsidR="00D54275" w:rsidRPr="00A61E1E">
        <w:rPr>
          <w:color w:val="FF0000"/>
        </w:rPr>
        <w:t>ave been in the local news/newspaper</w:t>
      </w:r>
      <w:r w:rsidR="006C1F10" w:rsidRPr="00A61E1E">
        <w:rPr>
          <w:color w:val="FF0000"/>
        </w:rPr>
        <w:t>.</w:t>
      </w:r>
    </w:p>
    <w:p w:rsidR="008B6FDC" w:rsidRDefault="008B6FDC" w:rsidP="008B6FDC">
      <w:pPr>
        <w:spacing w:after="0" w:line="240" w:lineRule="auto"/>
        <w:rPr>
          <w:color w:val="FF0000"/>
        </w:rPr>
      </w:pPr>
    </w:p>
    <w:p w:rsidR="008B6FDC" w:rsidRDefault="008B6FDC" w:rsidP="008B6FDC">
      <w:pPr>
        <w:spacing w:after="0" w:line="240" w:lineRule="auto"/>
        <w:rPr>
          <w:color w:val="FF0000"/>
        </w:rPr>
      </w:pPr>
    </w:p>
    <w:p w:rsidR="008B6FDC" w:rsidRDefault="008B6FDC" w:rsidP="008B6FDC">
      <w:pPr>
        <w:spacing w:after="0" w:line="240" w:lineRule="auto"/>
        <w:rPr>
          <w:color w:val="FF0000"/>
        </w:rPr>
      </w:pPr>
    </w:p>
    <w:p w:rsidR="008B6FDC" w:rsidRDefault="008B6FDC" w:rsidP="008B6FDC">
      <w:pPr>
        <w:spacing w:after="0" w:line="240" w:lineRule="auto"/>
        <w:rPr>
          <w:color w:val="FF0000"/>
        </w:rPr>
      </w:pPr>
    </w:p>
    <w:p w:rsidR="008B6FDC" w:rsidRDefault="008B6FDC" w:rsidP="008B6FDC">
      <w:pPr>
        <w:spacing w:after="0" w:line="240" w:lineRule="auto"/>
        <w:rPr>
          <w:color w:val="FF0000"/>
        </w:rPr>
      </w:pPr>
    </w:p>
    <w:p w:rsidR="008B6FDC" w:rsidRDefault="008B6FDC" w:rsidP="008B6FDC">
      <w:pPr>
        <w:spacing w:after="0" w:line="240" w:lineRule="auto"/>
        <w:rPr>
          <w:color w:val="FF0000"/>
        </w:rPr>
      </w:pPr>
    </w:p>
    <w:p w:rsidR="008B6FDC" w:rsidRDefault="008B6FDC" w:rsidP="008B6FDC">
      <w:pPr>
        <w:spacing w:after="0" w:line="240" w:lineRule="auto"/>
        <w:rPr>
          <w:color w:val="FF0000"/>
        </w:rPr>
      </w:pPr>
    </w:p>
    <w:p w:rsidR="008B6FDC" w:rsidRDefault="008B6FDC" w:rsidP="008B6FDC">
      <w:pPr>
        <w:spacing w:after="0" w:line="240" w:lineRule="auto"/>
        <w:rPr>
          <w:color w:val="FF0000"/>
        </w:rPr>
      </w:pPr>
    </w:p>
    <w:p w:rsidR="008B6FDC" w:rsidRDefault="008B6FDC" w:rsidP="008B6FDC">
      <w:pPr>
        <w:spacing w:after="0" w:line="240" w:lineRule="auto"/>
        <w:rPr>
          <w:color w:val="FF0000"/>
        </w:rPr>
      </w:pPr>
    </w:p>
    <w:p w:rsidR="008B6FDC" w:rsidRDefault="008B6FDC" w:rsidP="008B6FDC">
      <w:pPr>
        <w:spacing w:after="0" w:line="240" w:lineRule="auto"/>
        <w:rPr>
          <w:color w:val="FF0000"/>
        </w:rPr>
      </w:pPr>
    </w:p>
    <w:p w:rsidR="008B6FDC" w:rsidRDefault="008B6FDC" w:rsidP="008B6FDC">
      <w:pPr>
        <w:spacing w:after="0" w:line="240" w:lineRule="auto"/>
        <w:rPr>
          <w:color w:val="FF0000"/>
        </w:rPr>
      </w:pPr>
    </w:p>
    <w:p w:rsidR="008B6FDC" w:rsidRPr="008B6FDC" w:rsidRDefault="008B6FDC" w:rsidP="008B6FDC">
      <w:pPr>
        <w:spacing w:after="0" w:line="240" w:lineRule="auto"/>
        <w:rPr>
          <w:color w:val="FF0000"/>
        </w:rPr>
      </w:pPr>
    </w:p>
    <w:p w:rsidR="00587485" w:rsidRDefault="00AC17A3" w:rsidP="00587485">
      <w:pPr>
        <w:spacing w:after="0" w:line="240" w:lineRule="auto"/>
        <w:rPr>
          <w:b/>
          <w:sz w:val="28"/>
          <w:szCs w:val="28"/>
        </w:rPr>
      </w:pPr>
      <w:r>
        <w:rPr>
          <w:rFonts w:asciiTheme="minorHAnsi" w:hAnsiTheme="minorHAnsi" w:cstheme="minorHAnsi"/>
          <w:b/>
          <w:sz w:val="28"/>
          <w:szCs w:val="28"/>
        </w:rPr>
        <w:lastRenderedPageBreak/>
        <w:t xml:space="preserve">V. </w:t>
      </w:r>
      <w:r w:rsidR="00287A36" w:rsidRPr="00AC17A3">
        <w:rPr>
          <w:rFonts w:asciiTheme="minorHAnsi" w:hAnsiTheme="minorHAnsi" w:cstheme="minorHAnsi"/>
          <w:b/>
          <w:sz w:val="28"/>
          <w:szCs w:val="28"/>
        </w:rPr>
        <w:t>Next Steps/Adjourn</w:t>
      </w:r>
      <w:r w:rsidR="007F4E64" w:rsidRPr="00AC17A3">
        <w:rPr>
          <w:rFonts w:asciiTheme="minorHAnsi" w:hAnsiTheme="minorHAnsi" w:cstheme="minorHAnsi"/>
          <w:b/>
          <w:sz w:val="28"/>
          <w:szCs w:val="28"/>
        </w:rPr>
        <w:t xml:space="preserve"> </w:t>
      </w:r>
    </w:p>
    <w:tbl>
      <w:tblPr>
        <w:tblW w:w="0" w:type="auto"/>
        <w:tblCellMar>
          <w:left w:w="0" w:type="dxa"/>
          <w:right w:w="0" w:type="dxa"/>
        </w:tblCellMar>
        <w:tblLook w:val="04A0" w:firstRow="1" w:lastRow="0" w:firstColumn="1" w:lastColumn="0" w:noHBand="0" w:noVBand="1"/>
      </w:tblPr>
      <w:tblGrid>
        <w:gridCol w:w="9576"/>
      </w:tblGrid>
      <w:tr w:rsidR="00587485" w:rsidRPr="008B6FDC" w:rsidTr="002613B1">
        <w:tc>
          <w:tcPr>
            <w:tcW w:w="9576" w:type="dxa"/>
            <w:tcBorders>
              <w:top w:val="single" w:sz="8" w:space="0" w:color="auto"/>
              <w:left w:val="single" w:sz="8" w:space="0" w:color="auto"/>
              <w:bottom w:val="single" w:sz="8" w:space="0" w:color="auto"/>
              <w:right w:val="single" w:sz="8" w:space="0" w:color="auto"/>
            </w:tcBorders>
            <w:shd w:val="clear" w:color="auto" w:fill="C0504D"/>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1212"/>
              <w:gridCol w:w="8128"/>
            </w:tblGrid>
            <w:tr w:rsidR="00587485" w:rsidRPr="008B6FDC" w:rsidTr="002613B1">
              <w:tc>
                <w:tcPr>
                  <w:tcW w:w="9576" w:type="dxa"/>
                  <w:gridSpan w:val="2"/>
                  <w:tcBorders>
                    <w:top w:val="single" w:sz="8" w:space="0" w:color="auto"/>
                    <w:left w:val="single" w:sz="8" w:space="0" w:color="auto"/>
                    <w:bottom w:val="single" w:sz="8" w:space="0" w:color="auto"/>
                    <w:right w:val="single" w:sz="8" w:space="0" w:color="auto"/>
                  </w:tcBorders>
                  <w:shd w:val="clear" w:color="auto" w:fill="C0504D"/>
                  <w:tcMar>
                    <w:top w:w="0" w:type="dxa"/>
                    <w:left w:w="108" w:type="dxa"/>
                    <w:bottom w:w="0" w:type="dxa"/>
                    <w:right w:w="108" w:type="dxa"/>
                  </w:tcMar>
                  <w:hideMark/>
                </w:tcPr>
                <w:p w:rsidR="00587485" w:rsidRPr="008B6FDC" w:rsidRDefault="00587485" w:rsidP="002613B1">
                  <w:pPr>
                    <w:pStyle w:val="NoSpacing"/>
                    <w:rPr>
                      <w:rFonts w:eastAsiaTheme="minorHAnsi"/>
                      <w:b/>
                      <w:color w:val="FFFFFF" w:themeColor="background1"/>
                    </w:rPr>
                  </w:pPr>
                  <w:r w:rsidRPr="008B6FDC">
                    <w:rPr>
                      <w:b/>
                      <w:color w:val="FFFFFF" w:themeColor="background1"/>
                    </w:rPr>
                    <w:t>Upcoming Dates (</w:t>
                  </w:r>
                  <w:hyperlink r:id="rId10" w:history="1">
                    <w:r w:rsidRPr="008B6FDC">
                      <w:rPr>
                        <w:rStyle w:val="Hyperlink"/>
                        <w:b/>
                      </w:rPr>
                      <w:t>per HHSC website</w:t>
                    </w:r>
                  </w:hyperlink>
                  <w:r w:rsidRPr="008B6FDC">
                    <w:rPr>
                      <w:b/>
                      <w:color w:val="FFFFFF" w:themeColor="background1"/>
                    </w:rPr>
                    <w:t>)</w:t>
                  </w:r>
                </w:p>
              </w:tc>
            </w:tr>
            <w:tr w:rsidR="00587485" w:rsidRPr="008B6FDC" w:rsidTr="002613B1">
              <w:tc>
                <w:tcPr>
                  <w:tcW w:w="122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587485" w:rsidRPr="008B6FDC" w:rsidRDefault="00587485" w:rsidP="002613B1">
                  <w:pPr>
                    <w:pStyle w:val="NoSpacing"/>
                    <w:rPr>
                      <w:rFonts w:eastAsiaTheme="minorHAnsi"/>
                      <w:b/>
                    </w:rPr>
                  </w:pPr>
                  <w:r w:rsidRPr="008B6FDC">
                    <w:rPr>
                      <w:b/>
                    </w:rPr>
                    <w:t>Date</w:t>
                  </w:r>
                </w:p>
              </w:tc>
              <w:tc>
                <w:tcPr>
                  <w:tcW w:w="83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587485" w:rsidRPr="008B6FDC" w:rsidRDefault="00587485" w:rsidP="002613B1">
                  <w:pPr>
                    <w:pStyle w:val="NoSpacing"/>
                    <w:rPr>
                      <w:rFonts w:eastAsiaTheme="minorHAnsi"/>
                      <w:b/>
                    </w:rPr>
                  </w:pPr>
                  <w:r w:rsidRPr="008B6FDC">
                    <w:rPr>
                      <w:b/>
                    </w:rPr>
                    <w:t>Task</w:t>
                  </w:r>
                </w:p>
              </w:tc>
            </w:tr>
            <w:tr w:rsidR="00587485" w:rsidRPr="008B6FDC" w:rsidTr="002613B1">
              <w:tc>
                <w:tcPr>
                  <w:tcW w:w="1225" w:type="dxa"/>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587485" w:rsidRPr="008B6FDC" w:rsidRDefault="00587485" w:rsidP="002613B1">
                  <w:pPr>
                    <w:pStyle w:val="NoSpacing"/>
                    <w:rPr>
                      <w:rFonts w:eastAsiaTheme="minorHAnsi"/>
                      <w:b/>
                    </w:rPr>
                  </w:pPr>
                  <w:r w:rsidRPr="008B6FDC">
                    <w:rPr>
                      <w:b/>
                    </w:rPr>
                    <w:t>Early June</w:t>
                  </w:r>
                </w:p>
              </w:tc>
              <w:tc>
                <w:tcPr>
                  <w:tcW w:w="8351" w:type="dxa"/>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587485" w:rsidRPr="008B6FDC" w:rsidRDefault="00587485" w:rsidP="002613B1">
                  <w:pPr>
                    <w:pStyle w:val="NoSpacing"/>
                    <w:rPr>
                      <w:rFonts w:eastAsiaTheme="minorHAnsi"/>
                    </w:rPr>
                  </w:pPr>
                  <w:r w:rsidRPr="008B6FDC">
                    <w:t xml:space="preserve">HHSC and CMS will complete their review and approval of April reports or request additional information (referred to as NMI) regarding the data reported. </w:t>
                  </w:r>
                </w:p>
                <w:p w:rsidR="00587485" w:rsidRPr="008B6FDC" w:rsidRDefault="00587485" w:rsidP="002613B1">
                  <w:pPr>
                    <w:pStyle w:val="NoSpacing"/>
                    <w:rPr>
                      <w:rFonts w:eastAsiaTheme="minorHAnsi"/>
                    </w:rPr>
                  </w:pPr>
                  <w:r w:rsidRPr="008B6FDC">
                    <w:t>Reminder: if additional information is requested, the DSRIP payment related to the milestone/metric will not be included with July DSRIP payments.</w:t>
                  </w:r>
                </w:p>
              </w:tc>
            </w:tr>
            <w:tr w:rsidR="00587485" w:rsidRPr="008B6FDC" w:rsidTr="002613B1">
              <w:tc>
                <w:tcPr>
                  <w:tcW w:w="122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587485" w:rsidRPr="008B6FDC" w:rsidRDefault="00587485" w:rsidP="002613B1">
                  <w:pPr>
                    <w:pStyle w:val="NoSpacing"/>
                    <w:rPr>
                      <w:b/>
                    </w:rPr>
                  </w:pPr>
                  <w:r w:rsidRPr="008B6FDC">
                    <w:rPr>
                      <w:b/>
                    </w:rPr>
                    <w:t>July 2014</w:t>
                  </w:r>
                </w:p>
              </w:tc>
              <w:tc>
                <w:tcPr>
                  <w:tcW w:w="83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87485" w:rsidRPr="008B6FDC" w:rsidRDefault="00587485" w:rsidP="002613B1">
                  <w:pPr>
                    <w:pStyle w:val="NoSpacing"/>
                  </w:pPr>
                  <w:r w:rsidRPr="008B6FDC">
                    <w:t>RHPs submit plan modifications for DY 4-5</w:t>
                  </w:r>
                </w:p>
              </w:tc>
            </w:tr>
            <w:tr w:rsidR="00587485" w:rsidRPr="008B6FDC" w:rsidTr="002613B1">
              <w:tc>
                <w:tcPr>
                  <w:tcW w:w="1225" w:type="dxa"/>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tcPr>
                <w:p w:rsidR="00587485" w:rsidRPr="008B6FDC" w:rsidRDefault="00587485" w:rsidP="002613B1">
                  <w:pPr>
                    <w:pStyle w:val="NoSpacing"/>
                    <w:rPr>
                      <w:b/>
                    </w:rPr>
                  </w:pPr>
                  <w:r w:rsidRPr="008B6FDC">
                    <w:rPr>
                      <w:b/>
                    </w:rPr>
                    <w:t>July 9</w:t>
                  </w:r>
                </w:p>
              </w:tc>
              <w:tc>
                <w:tcPr>
                  <w:tcW w:w="8351" w:type="dxa"/>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tcPr>
                <w:p w:rsidR="00587485" w:rsidRPr="008B6FDC" w:rsidRDefault="00587485" w:rsidP="002613B1">
                  <w:pPr>
                    <w:pStyle w:val="NoSpacing"/>
                  </w:pPr>
                  <w:r w:rsidRPr="008B6FDC">
                    <w:t>Estimated IGT due date for approved April milestone/metric achievement and DY3 monitoring.</w:t>
                  </w:r>
                </w:p>
              </w:tc>
            </w:tr>
            <w:tr w:rsidR="00587485" w:rsidRPr="008B6FDC" w:rsidTr="002613B1">
              <w:tc>
                <w:tcPr>
                  <w:tcW w:w="122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587485" w:rsidRPr="008B6FDC" w:rsidRDefault="00587485" w:rsidP="002613B1">
                  <w:pPr>
                    <w:pStyle w:val="NoSpacing"/>
                    <w:rPr>
                      <w:rFonts w:eastAsiaTheme="minorHAnsi"/>
                      <w:b/>
                    </w:rPr>
                  </w:pPr>
                  <w:r w:rsidRPr="008B6FDC">
                    <w:rPr>
                      <w:b/>
                    </w:rPr>
                    <w:t>Mid - July</w:t>
                  </w:r>
                </w:p>
              </w:tc>
              <w:tc>
                <w:tcPr>
                  <w:tcW w:w="83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87485" w:rsidRPr="008B6FDC" w:rsidRDefault="00143207" w:rsidP="002613B1">
                  <w:pPr>
                    <w:pStyle w:val="NoSpacing"/>
                    <w:rPr>
                      <w:rFonts w:eastAsiaTheme="minorHAnsi"/>
                    </w:rPr>
                  </w:pPr>
                  <w:r w:rsidRPr="008B6FDC">
                    <w:t>Providers</w:t>
                  </w:r>
                  <w:r w:rsidR="00587485" w:rsidRPr="008B6FDC">
                    <w:t xml:space="preserve"> submit additional information to HHSC if necessary following April reporting.</w:t>
                  </w:r>
                </w:p>
              </w:tc>
            </w:tr>
            <w:tr w:rsidR="00587485" w:rsidRPr="008B6FDC" w:rsidTr="002613B1">
              <w:tc>
                <w:tcPr>
                  <w:tcW w:w="1225" w:type="dxa"/>
                  <w:tcBorders>
                    <w:top w:val="nil"/>
                    <w:left w:val="single" w:sz="8" w:space="0" w:color="auto"/>
                    <w:bottom w:val="nil"/>
                    <w:right w:val="single" w:sz="8" w:space="0" w:color="auto"/>
                  </w:tcBorders>
                  <w:shd w:val="clear" w:color="auto" w:fill="F2DBDB" w:themeFill="accent2" w:themeFillTint="33"/>
                  <w:tcMar>
                    <w:top w:w="0" w:type="dxa"/>
                    <w:left w:w="108" w:type="dxa"/>
                    <w:bottom w:w="0" w:type="dxa"/>
                    <w:right w:w="108" w:type="dxa"/>
                  </w:tcMar>
                </w:tcPr>
                <w:p w:rsidR="00587485" w:rsidRPr="008B6FDC" w:rsidRDefault="00587485" w:rsidP="002613B1">
                  <w:pPr>
                    <w:pStyle w:val="NoSpacing"/>
                    <w:rPr>
                      <w:rFonts w:eastAsiaTheme="minorHAnsi"/>
                      <w:b/>
                    </w:rPr>
                  </w:pPr>
                  <w:r w:rsidRPr="008B6FDC">
                    <w:rPr>
                      <w:rFonts w:eastAsiaTheme="minorHAnsi"/>
                      <w:b/>
                    </w:rPr>
                    <w:t>July 31</w:t>
                  </w:r>
                </w:p>
              </w:tc>
              <w:tc>
                <w:tcPr>
                  <w:tcW w:w="8351" w:type="dxa"/>
                  <w:tcBorders>
                    <w:top w:val="nil"/>
                    <w:left w:val="nil"/>
                    <w:bottom w:val="nil"/>
                    <w:right w:val="single" w:sz="8" w:space="0" w:color="auto"/>
                  </w:tcBorders>
                  <w:shd w:val="clear" w:color="auto" w:fill="F2DBDB" w:themeFill="accent2" w:themeFillTint="33"/>
                  <w:tcMar>
                    <w:top w:w="0" w:type="dxa"/>
                    <w:left w:w="108" w:type="dxa"/>
                    <w:bottom w:w="0" w:type="dxa"/>
                    <w:right w:w="108" w:type="dxa"/>
                  </w:tcMar>
                </w:tcPr>
                <w:p w:rsidR="00587485" w:rsidRPr="008B6FDC" w:rsidRDefault="00587485" w:rsidP="002613B1">
                  <w:pPr>
                    <w:pStyle w:val="NoSpacing"/>
                    <w:rPr>
                      <w:rFonts w:eastAsiaTheme="minorHAnsi"/>
                    </w:rPr>
                  </w:pPr>
                  <w:r w:rsidRPr="008B6FDC">
                    <w:rPr>
                      <w:rFonts w:eastAsiaTheme="minorHAnsi"/>
                    </w:rPr>
                    <w:t xml:space="preserve">Estimated payment date for </w:t>
                  </w:r>
                  <w:r w:rsidR="00143207" w:rsidRPr="008B6FDC">
                    <w:rPr>
                      <w:rFonts w:eastAsiaTheme="minorHAnsi"/>
                    </w:rPr>
                    <w:t>Providers</w:t>
                  </w:r>
                  <w:r w:rsidRPr="008B6FDC">
                    <w:rPr>
                      <w:rFonts w:eastAsiaTheme="minorHAnsi"/>
                    </w:rPr>
                    <w:t xml:space="preserve"> for April reporting.</w:t>
                  </w:r>
                </w:p>
              </w:tc>
            </w:tr>
            <w:tr w:rsidR="00587485" w:rsidRPr="008B6FDC" w:rsidTr="002613B1">
              <w:tc>
                <w:tcPr>
                  <w:tcW w:w="1225" w:type="dxa"/>
                  <w:tcBorders>
                    <w:top w:val="nil"/>
                    <w:left w:val="single" w:sz="8" w:space="0" w:color="auto"/>
                    <w:bottom w:val="single" w:sz="8" w:space="0" w:color="auto"/>
                    <w:right w:val="single" w:sz="8" w:space="0" w:color="auto"/>
                  </w:tcBorders>
                  <w:shd w:val="clear" w:color="auto" w:fill="EFD3D2"/>
                  <w:tcMar>
                    <w:top w:w="0" w:type="dxa"/>
                    <w:left w:w="108" w:type="dxa"/>
                    <w:bottom w:w="0" w:type="dxa"/>
                    <w:right w:w="108" w:type="dxa"/>
                  </w:tcMar>
                </w:tcPr>
                <w:p w:rsidR="00587485" w:rsidRPr="008B6FDC" w:rsidRDefault="00587485" w:rsidP="002613B1">
                  <w:pPr>
                    <w:pStyle w:val="NoSpacing"/>
                    <w:rPr>
                      <w:b/>
                    </w:rPr>
                  </w:pPr>
                </w:p>
              </w:tc>
              <w:tc>
                <w:tcPr>
                  <w:tcW w:w="8351" w:type="dxa"/>
                  <w:tcBorders>
                    <w:top w:val="nil"/>
                    <w:left w:val="nil"/>
                    <w:bottom w:val="single" w:sz="8" w:space="0" w:color="auto"/>
                    <w:right w:val="single" w:sz="8" w:space="0" w:color="auto"/>
                  </w:tcBorders>
                  <w:shd w:val="clear" w:color="auto" w:fill="EFD3D2"/>
                  <w:tcMar>
                    <w:top w:w="0" w:type="dxa"/>
                    <w:left w:w="108" w:type="dxa"/>
                    <w:bottom w:w="0" w:type="dxa"/>
                    <w:right w:w="108" w:type="dxa"/>
                  </w:tcMar>
                </w:tcPr>
                <w:p w:rsidR="00587485" w:rsidRPr="008B6FDC" w:rsidRDefault="00587485" w:rsidP="002613B1">
                  <w:pPr>
                    <w:pStyle w:val="NoSpacing"/>
                  </w:pPr>
                </w:p>
              </w:tc>
            </w:tr>
            <w:tr w:rsidR="00587485" w:rsidRPr="008B6FDC" w:rsidTr="002613B1">
              <w:tc>
                <w:tcPr>
                  <w:tcW w:w="122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587485" w:rsidRPr="008B6FDC" w:rsidRDefault="00587485" w:rsidP="002613B1">
                  <w:pPr>
                    <w:pStyle w:val="NoSpacing"/>
                    <w:rPr>
                      <w:b/>
                    </w:rPr>
                  </w:pPr>
                  <w:r w:rsidRPr="008B6FDC">
                    <w:rPr>
                      <w:b/>
                    </w:rPr>
                    <w:t xml:space="preserve">Mid - August </w:t>
                  </w:r>
                </w:p>
              </w:tc>
              <w:tc>
                <w:tcPr>
                  <w:tcW w:w="83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87485" w:rsidRPr="008B6FDC" w:rsidRDefault="00587485" w:rsidP="002613B1">
                  <w:pPr>
                    <w:pStyle w:val="NoSpacing"/>
                  </w:pPr>
                  <w:r w:rsidRPr="008B6FDC">
                    <w:t xml:space="preserve">HHSC reviews and approves/disapproves additional information submitted by </w:t>
                  </w:r>
                  <w:r w:rsidR="00143207" w:rsidRPr="008B6FDC">
                    <w:t>Providers</w:t>
                  </w:r>
                  <w:r w:rsidRPr="008B6FDC">
                    <w:t xml:space="preserve"> following April reporting.</w:t>
                  </w:r>
                </w:p>
              </w:tc>
            </w:tr>
          </w:tbl>
          <w:p w:rsidR="00587485" w:rsidRPr="008B6FDC" w:rsidRDefault="00587485" w:rsidP="002613B1"/>
        </w:tc>
      </w:tr>
    </w:tbl>
    <w:p w:rsidR="006C1F10" w:rsidRDefault="006C1F10" w:rsidP="008B6FDC">
      <w:pPr>
        <w:spacing w:after="0" w:line="240" w:lineRule="auto"/>
        <w:rPr>
          <w:rFonts w:asciiTheme="minorHAnsi" w:hAnsiTheme="minorHAnsi" w:cstheme="minorHAnsi"/>
          <w:b/>
          <w:sz w:val="28"/>
          <w:szCs w:val="28"/>
        </w:rPr>
      </w:pPr>
      <w:bookmarkStart w:id="0" w:name="_GoBack"/>
      <w:bookmarkEnd w:id="0"/>
    </w:p>
    <w:sectPr w:rsidR="006C1F10" w:rsidSect="001810FE">
      <w:headerReference w:type="even" r:id="rId11"/>
      <w:headerReference w:type="default" r:id="rId12"/>
      <w:footerReference w:type="even" r:id="rId13"/>
      <w:footerReference w:type="default" r:id="rId14"/>
      <w:headerReference w:type="first" r:id="rId15"/>
      <w:footerReference w:type="first" r:id="rId16"/>
      <w:pgSz w:w="12240" w:h="15840"/>
      <w:pgMar w:top="5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AA2" w:rsidRDefault="008A5AA2" w:rsidP="0084001C">
      <w:pPr>
        <w:spacing w:after="0" w:line="240" w:lineRule="auto"/>
      </w:pPr>
      <w:r>
        <w:separator/>
      </w:r>
    </w:p>
  </w:endnote>
  <w:endnote w:type="continuationSeparator" w:id="0">
    <w:p w:rsidR="008A5AA2" w:rsidRDefault="008A5AA2"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A2" w:rsidRDefault="008A5A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722215"/>
      <w:docPartObj>
        <w:docPartGallery w:val="Page Numbers (Bottom of Page)"/>
        <w:docPartUnique/>
      </w:docPartObj>
    </w:sdtPr>
    <w:sdtEndPr>
      <w:rPr>
        <w:noProof/>
      </w:rPr>
    </w:sdtEndPr>
    <w:sdtContent>
      <w:p w:rsidR="006C1F10" w:rsidRDefault="006C1F10">
        <w:pPr>
          <w:pStyle w:val="Footer"/>
          <w:jc w:val="center"/>
        </w:pPr>
        <w:r>
          <w:fldChar w:fldCharType="begin"/>
        </w:r>
        <w:r>
          <w:instrText xml:space="preserve"> PAGE   \* MERGEFORMAT </w:instrText>
        </w:r>
        <w:r>
          <w:fldChar w:fldCharType="separate"/>
        </w:r>
        <w:r w:rsidR="00A34608">
          <w:rPr>
            <w:noProof/>
          </w:rPr>
          <w:t>2</w:t>
        </w:r>
        <w:r>
          <w:rPr>
            <w:noProof/>
          </w:rPr>
          <w:fldChar w:fldCharType="end"/>
        </w:r>
      </w:p>
    </w:sdtContent>
  </w:sdt>
  <w:p w:rsidR="008A5AA2" w:rsidRDefault="008A5A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A2" w:rsidRDefault="008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AA2" w:rsidRDefault="008A5AA2" w:rsidP="0084001C">
      <w:pPr>
        <w:spacing w:after="0" w:line="240" w:lineRule="auto"/>
      </w:pPr>
      <w:r>
        <w:separator/>
      </w:r>
    </w:p>
  </w:footnote>
  <w:footnote w:type="continuationSeparator" w:id="0">
    <w:p w:rsidR="008A5AA2" w:rsidRDefault="008A5AA2" w:rsidP="00840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A2" w:rsidRDefault="008A5A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A2" w:rsidRDefault="008A5A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A2" w:rsidRDefault="008A5A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2C08"/>
    <w:multiLevelType w:val="hybridMultilevel"/>
    <w:tmpl w:val="E646CDD2"/>
    <w:lvl w:ilvl="0" w:tplc="3E84C2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380896"/>
    <w:multiLevelType w:val="hybridMultilevel"/>
    <w:tmpl w:val="24202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E36CB9"/>
    <w:multiLevelType w:val="hybridMultilevel"/>
    <w:tmpl w:val="22020F1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BBB28D1"/>
    <w:multiLevelType w:val="hybridMultilevel"/>
    <w:tmpl w:val="B3B0107C"/>
    <w:lvl w:ilvl="0" w:tplc="04090013">
      <w:start w:val="1"/>
      <w:numFmt w:val="upperRoman"/>
      <w:lvlText w:val="%1."/>
      <w:lvlJc w:val="right"/>
      <w:pPr>
        <w:ind w:left="720" w:hanging="360"/>
      </w:pPr>
    </w:lvl>
    <w:lvl w:ilvl="1" w:tplc="E380549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C4DA1"/>
    <w:multiLevelType w:val="hybridMultilevel"/>
    <w:tmpl w:val="74D81D40"/>
    <w:lvl w:ilvl="0" w:tplc="EBA60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078EA"/>
    <w:multiLevelType w:val="hybridMultilevel"/>
    <w:tmpl w:val="C2D85622"/>
    <w:lvl w:ilvl="0" w:tplc="7B6E8C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C23431"/>
    <w:multiLevelType w:val="hybridMultilevel"/>
    <w:tmpl w:val="31784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172A8"/>
    <w:multiLevelType w:val="hybridMultilevel"/>
    <w:tmpl w:val="E09C7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783067"/>
    <w:multiLevelType w:val="hybridMultilevel"/>
    <w:tmpl w:val="33A47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7480E"/>
    <w:multiLevelType w:val="hybridMultilevel"/>
    <w:tmpl w:val="E89EB72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96C61F4"/>
    <w:multiLevelType w:val="hybridMultilevel"/>
    <w:tmpl w:val="F1E46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C57489"/>
    <w:multiLevelType w:val="hybridMultilevel"/>
    <w:tmpl w:val="943E8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1C0935"/>
    <w:multiLevelType w:val="hybridMultilevel"/>
    <w:tmpl w:val="C0A63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E478E1"/>
    <w:multiLevelType w:val="hybridMultilevel"/>
    <w:tmpl w:val="3ED4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D0816"/>
    <w:multiLevelType w:val="hybridMultilevel"/>
    <w:tmpl w:val="D0607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30037F1"/>
    <w:multiLevelType w:val="hybridMultilevel"/>
    <w:tmpl w:val="BEC8A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A11663"/>
    <w:multiLevelType w:val="hybridMultilevel"/>
    <w:tmpl w:val="988A4A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555085"/>
    <w:multiLevelType w:val="hybridMultilevel"/>
    <w:tmpl w:val="ADBEF0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867417"/>
    <w:multiLevelType w:val="hybridMultilevel"/>
    <w:tmpl w:val="C26C56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C747602"/>
    <w:multiLevelType w:val="hybridMultilevel"/>
    <w:tmpl w:val="175EB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A1245F"/>
    <w:multiLevelType w:val="hybridMultilevel"/>
    <w:tmpl w:val="1C5070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A96125"/>
    <w:multiLevelType w:val="hybridMultilevel"/>
    <w:tmpl w:val="0F800CA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F1226D8"/>
    <w:multiLevelType w:val="hybridMultilevel"/>
    <w:tmpl w:val="CA6AEC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FE30E21"/>
    <w:multiLevelType w:val="hybridMultilevel"/>
    <w:tmpl w:val="EF6C8E4E"/>
    <w:lvl w:ilvl="0" w:tplc="D47640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FA3C24"/>
    <w:multiLevelType w:val="hybridMultilevel"/>
    <w:tmpl w:val="00ECA57E"/>
    <w:lvl w:ilvl="0" w:tplc="C4F45D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44096B"/>
    <w:multiLevelType w:val="hybridMultilevel"/>
    <w:tmpl w:val="D952A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6D85C4C"/>
    <w:multiLevelType w:val="hybridMultilevel"/>
    <w:tmpl w:val="4F780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84B0370"/>
    <w:multiLevelType w:val="hybridMultilevel"/>
    <w:tmpl w:val="6286344C"/>
    <w:lvl w:ilvl="0" w:tplc="2AF41E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F46247"/>
    <w:multiLevelType w:val="hybridMultilevel"/>
    <w:tmpl w:val="9F98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75317C"/>
    <w:multiLevelType w:val="hybridMultilevel"/>
    <w:tmpl w:val="F53CAE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9F3424"/>
    <w:multiLevelType w:val="hybridMultilevel"/>
    <w:tmpl w:val="01625D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34A4B29"/>
    <w:multiLevelType w:val="hybridMultilevel"/>
    <w:tmpl w:val="76646894"/>
    <w:lvl w:ilvl="0" w:tplc="EB0A679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5617696"/>
    <w:multiLevelType w:val="hybridMultilevel"/>
    <w:tmpl w:val="FEA80C08"/>
    <w:lvl w:ilvl="0" w:tplc="862229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C5F3497"/>
    <w:multiLevelType w:val="hybridMultilevel"/>
    <w:tmpl w:val="6F34B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FC07498"/>
    <w:multiLevelType w:val="hybridMultilevel"/>
    <w:tmpl w:val="7190FE3E"/>
    <w:lvl w:ilvl="0" w:tplc="C4F45D5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437A5F"/>
    <w:multiLevelType w:val="hybridMultilevel"/>
    <w:tmpl w:val="FE908078"/>
    <w:lvl w:ilvl="0" w:tplc="0C9888B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AA253E"/>
    <w:multiLevelType w:val="hybridMultilevel"/>
    <w:tmpl w:val="F6AE1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4134BE6"/>
    <w:multiLevelType w:val="hybridMultilevel"/>
    <w:tmpl w:val="C8C8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27562E"/>
    <w:multiLevelType w:val="hybridMultilevel"/>
    <w:tmpl w:val="D6B2E330"/>
    <w:lvl w:ilvl="0" w:tplc="04090013">
      <w:start w:val="1"/>
      <w:numFmt w:val="upperRoman"/>
      <w:lvlText w:val="%1."/>
      <w:lvlJc w:val="right"/>
      <w:pPr>
        <w:ind w:left="720" w:hanging="360"/>
      </w:pPr>
    </w:lvl>
    <w:lvl w:ilvl="1" w:tplc="BDD4FF5E">
      <w:start w:val="1"/>
      <w:numFmt w:val="lowerLetter"/>
      <w:lvlText w:val="%2."/>
      <w:lvlJc w:val="left"/>
      <w:pPr>
        <w:ind w:left="1440" w:hanging="360"/>
      </w:pPr>
      <w:rPr>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852D33"/>
    <w:multiLevelType w:val="hybridMultilevel"/>
    <w:tmpl w:val="19728910"/>
    <w:lvl w:ilvl="0" w:tplc="8DFA1A5A">
      <w:start w:val="1"/>
      <w:numFmt w:val="low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784E1756"/>
    <w:multiLevelType w:val="hybridMultilevel"/>
    <w:tmpl w:val="6956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A34515"/>
    <w:multiLevelType w:val="hybridMultilevel"/>
    <w:tmpl w:val="6640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0978D8"/>
    <w:multiLevelType w:val="hybridMultilevel"/>
    <w:tmpl w:val="84042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342FE5"/>
    <w:multiLevelType w:val="hybridMultilevel"/>
    <w:tmpl w:val="2FBA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17"/>
  </w:num>
  <w:num w:numId="4">
    <w:abstractNumId w:val="7"/>
  </w:num>
  <w:num w:numId="5">
    <w:abstractNumId w:val="12"/>
  </w:num>
  <w:num w:numId="6">
    <w:abstractNumId w:val="22"/>
  </w:num>
  <w:num w:numId="7">
    <w:abstractNumId w:val="30"/>
  </w:num>
  <w:num w:numId="8">
    <w:abstractNumId w:val="1"/>
  </w:num>
  <w:num w:numId="9">
    <w:abstractNumId w:val="39"/>
  </w:num>
  <w:num w:numId="10">
    <w:abstractNumId w:val="38"/>
  </w:num>
  <w:num w:numId="11">
    <w:abstractNumId w:val="0"/>
  </w:num>
  <w:num w:numId="12">
    <w:abstractNumId w:val="29"/>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1"/>
  </w:num>
  <w:num w:numId="16">
    <w:abstractNumId w:val="20"/>
  </w:num>
  <w:num w:numId="17">
    <w:abstractNumId w:val="8"/>
  </w:num>
  <w:num w:numId="18">
    <w:abstractNumId w:val="42"/>
  </w:num>
  <w:num w:numId="19">
    <w:abstractNumId w:val="25"/>
  </w:num>
  <w:num w:numId="20">
    <w:abstractNumId w:val="9"/>
  </w:num>
  <w:num w:numId="21">
    <w:abstractNumId w:val="13"/>
  </w:num>
  <w:num w:numId="22">
    <w:abstractNumId w:val="15"/>
  </w:num>
  <w:num w:numId="23">
    <w:abstractNumId w:val="24"/>
  </w:num>
  <w:num w:numId="24">
    <w:abstractNumId w:val="6"/>
  </w:num>
  <w:num w:numId="25">
    <w:abstractNumId w:val="40"/>
  </w:num>
  <w:num w:numId="26">
    <w:abstractNumId w:val="34"/>
  </w:num>
  <w:num w:numId="27">
    <w:abstractNumId w:val="37"/>
  </w:num>
  <w:num w:numId="28">
    <w:abstractNumId w:val="18"/>
  </w:num>
  <w:num w:numId="29">
    <w:abstractNumId w:val="14"/>
  </w:num>
  <w:num w:numId="30">
    <w:abstractNumId w:val="28"/>
  </w:num>
  <w:num w:numId="31">
    <w:abstractNumId w:val="4"/>
  </w:num>
  <w:num w:numId="32">
    <w:abstractNumId w:val="33"/>
  </w:num>
  <w:num w:numId="33">
    <w:abstractNumId w:val="41"/>
  </w:num>
  <w:num w:numId="34">
    <w:abstractNumId w:val="2"/>
  </w:num>
  <w:num w:numId="35">
    <w:abstractNumId w:val="31"/>
  </w:num>
  <w:num w:numId="36">
    <w:abstractNumId w:val="11"/>
  </w:num>
  <w:num w:numId="37">
    <w:abstractNumId w:val="27"/>
  </w:num>
  <w:num w:numId="38">
    <w:abstractNumId w:val="16"/>
  </w:num>
  <w:num w:numId="39">
    <w:abstractNumId w:val="35"/>
  </w:num>
  <w:num w:numId="40">
    <w:abstractNumId w:val="10"/>
  </w:num>
  <w:num w:numId="41">
    <w:abstractNumId w:val="5"/>
  </w:num>
  <w:num w:numId="42">
    <w:abstractNumId w:val="26"/>
  </w:num>
  <w:num w:numId="43">
    <w:abstractNumId w:val="19"/>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38"/>
    <w:rsid w:val="000144C5"/>
    <w:rsid w:val="00077DEB"/>
    <w:rsid w:val="000A2C56"/>
    <w:rsid w:val="000C3F5E"/>
    <w:rsid w:val="00101132"/>
    <w:rsid w:val="001120CE"/>
    <w:rsid w:val="001133E7"/>
    <w:rsid w:val="001271BF"/>
    <w:rsid w:val="00143207"/>
    <w:rsid w:val="00163432"/>
    <w:rsid w:val="001727AD"/>
    <w:rsid w:val="001810FE"/>
    <w:rsid w:val="001837DA"/>
    <w:rsid w:val="001A2351"/>
    <w:rsid w:val="00230B2F"/>
    <w:rsid w:val="00235803"/>
    <w:rsid w:val="00256800"/>
    <w:rsid w:val="00283EBF"/>
    <w:rsid w:val="00287A36"/>
    <w:rsid w:val="002E0875"/>
    <w:rsid w:val="00330131"/>
    <w:rsid w:val="003678C6"/>
    <w:rsid w:val="003821DF"/>
    <w:rsid w:val="003822DB"/>
    <w:rsid w:val="00396243"/>
    <w:rsid w:val="003C07EF"/>
    <w:rsid w:val="003D39E2"/>
    <w:rsid w:val="003E4374"/>
    <w:rsid w:val="003E5444"/>
    <w:rsid w:val="003F49D8"/>
    <w:rsid w:val="0040609C"/>
    <w:rsid w:val="00446508"/>
    <w:rsid w:val="00476D3F"/>
    <w:rsid w:val="0049724D"/>
    <w:rsid w:val="004E731B"/>
    <w:rsid w:val="00504009"/>
    <w:rsid w:val="00531959"/>
    <w:rsid w:val="00537D42"/>
    <w:rsid w:val="005533CB"/>
    <w:rsid w:val="00587485"/>
    <w:rsid w:val="005905B7"/>
    <w:rsid w:val="005B3CB3"/>
    <w:rsid w:val="005B5553"/>
    <w:rsid w:val="005C2E1E"/>
    <w:rsid w:val="005C3817"/>
    <w:rsid w:val="005E2DC1"/>
    <w:rsid w:val="005E56A7"/>
    <w:rsid w:val="00611D79"/>
    <w:rsid w:val="006375F9"/>
    <w:rsid w:val="00663338"/>
    <w:rsid w:val="00670EFC"/>
    <w:rsid w:val="006725D4"/>
    <w:rsid w:val="00676AEB"/>
    <w:rsid w:val="00683011"/>
    <w:rsid w:val="006959A2"/>
    <w:rsid w:val="006C1F10"/>
    <w:rsid w:val="006C4EEE"/>
    <w:rsid w:val="006C552A"/>
    <w:rsid w:val="007124A1"/>
    <w:rsid w:val="00751456"/>
    <w:rsid w:val="007538BB"/>
    <w:rsid w:val="00771023"/>
    <w:rsid w:val="00775BB3"/>
    <w:rsid w:val="007C180A"/>
    <w:rsid w:val="007F0780"/>
    <w:rsid w:val="007F3E91"/>
    <w:rsid w:val="007F4E64"/>
    <w:rsid w:val="008000BE"/>
    <w:rsid w:val="00824470"/>
    <w:rsid w:val="0084001C"/>
    <w:rsid w:val="008762A1"/>
    <w:rsid w:val="008A5AA2"/>
    <w:rsid w:val="008B598A"/>
    <w:rsid w:val="008B6FDC"/>
    <w:rsid w:val="008C4267"/>
    <w:rsid w:val="008D7EFC"/>
    <w:rsid w:val="008E3475"/>
    <w:rsid w:val="00905EA6"/>
    <w:rsid w:val="00951D58"/>
    <w:rsid w:val="00966914"/>
    <w:rsid w:val="00972E0B"/>
    <w:rsid w:val="009948BC"/>
    <w:rsid w:val="009D4AAD"/>
    <w:rsid w:val="009F039E"/>
    <w:rsid w:val="00A154EF"/>
    <w:rsid w:val="00A34608"/>
    <w:rsid w:val="00A61E1E"/>
    <w:rsid w:val="00A623DD"/>
    <w:rsid w:val="00AA7392"/>
    <w:rsid w:val="00AB5F95"/>
    <w:rsid w:val="00AC17A3"/>
    <w:rsid w:val="00AC1989"/>
    <w:rsid w:val="00AC1DA1"/>
    <w:rsid w:val="00B22E28"/>
    <w:rsid w:val="00B45DA5"/>
    <w:rsid w:val="00BA269A"/>
    <w:rsid w:val="00BE3D77"/>
    <w:rsid w:val="00C12515"/>
    <w:rsid w:val="00C164EE"/>
    <w:rsid w:val="00C24699"/>
    <w:rsid w:val="00C25B5D"/>
    <w:rsid w:val="00C51E78"/>
    <w:rsid w:val="00CD0056"/>
    <w:rsid w:val="00CD577F"/>
    <w:rsid w:val="00D015F3"/>
    <w:rsid w:val="00D1009C"/>
    <w:rsid w:val="00D20684"/>
    <w:rsid w:val="00D54275"/>
    <w:rsid w:val="00D645AF"/>
    <w:rsid w:val="00D75C66"/>
    <w:rsid w:val="00D90301"/>
    <w:rsid w:val="00DA3A70"/>
    <w:rsid w:val="00DE7103"/>
    <w:rsid w:val="00E23358"/>
    <w:rsid w:val="00E413AA"/>
    <w:rsid w:val="00E646A7"/>
    <w:rsid w:val="00E97613"/>
    <w:rsid w:val="00EB56CF"/>
    <w:rsid w:val="00EC3B0B"/>
    <w:rsid w:val="00F02FBE"/>
    <w:rsid w:val="00F34551"/>
    <w:rsid w:val="00F36D2D"/>
    <w:rsid w:val="00FC1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20684"/>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20684"/>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78933">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945038456">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hhsc.state.tx.us/1115-Waiver-Deadlines.s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B4507-7995-46FD-93D3-D0820812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alalaniz</dc:creator>
  <cp:lastModifiedBy>Bienski, Jennifer</cp:lastModifiedBy>
  <cp:revision>17</cp:revision>
  <cp:lastPrinted>2014-05-27T17:38:00Z</cp:lastPrinted>
  <dcterms:created xsi:type="dcterms:W3CDTF">2014-05-27T14:59:00Z</dcterms:created>
  <dcterms:modified xsi:type="dcterms:W3CDTF">2014-05-27T18:14:00Z</dcterms:modified>
</cp:coreProperties>
</file>