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C8" w:rsidRDefault="005E725D" w:rsidP="00A6544C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A6544C">
        <w:rPr>
          <w:b/>
          <w:sz w:val="32"/>
          <w:u w:val="single"/>
        </w:rPr>
        <w:t>Planning and Preparing for October DY4 Reporting</w:t>
      </w:r>
    </w:p>
    <w:p w:rsidR="00A815E2" w:rsidRPr="00A815E2" w:rsidRDefault="00A815E2" w:rsidP="00A815E2">
      <w:pPr>
        <w:jc w:val="center"/>
        <w:rPr>
          <w:b/>
          <w:color w:val="FF0000"/>
          <w:sz w:val="24"/>
        </w:rPr>
      </w:pPr>
      <w:r w:rsidRPr="00A815E2">
        <w:rPr>
          <w:color w:val="FF0000"/>
          <w:sz w:val="24"/>
        </w:rPr>
        <w:t xml:space="preserve">Note: This two-page handout is intended to serve as a planning reference document and is not intended </w:t>
      </w:r>
      <w:r w:rsidRPr="00A815E2">
        <w:rPr>
          <w:color w:val="FF0000"/>
          <w:sz w:val="24"/>
        </w:rPr>
        <w:br/>
        <w:t xml:space="preserve">to replace guidance as provided by HHSC. To access information about October DY4 reporting, </w:t>
      </w:r>
      <w:r w:rsidRPr="00A815E2">
        <w:rPr>
          <w:color w:val="FF0000"/>
          <w:sz w:val="24"/>
        </w:rPr>
        <w:br/>
        <w:t>the Anchor team encourages providers visit the</w:t>
      </w:r>
      <w:r w:rsidRPr="00A815E2">
        <w:rPr>
          <w:b/>
          <w:sz w:val="24"/>
        </w:rPr>
        <w:t xml:space="preserve"> </w:t>
      </w:r>
      <w:r w:rsidRPr="005E3828">
        <w:rPr>
          <w:color w:val="FF0000"/>
          <w:sz w:val="24"/>
        </w:rPr>
        <w:t>HHSC website</w:t>
      </w:r>
      <w:r w:rsidRPr="00A815E2">
        <w:rPr>
          <w:b/>
          <w:color w:val="FF0000"/>
          <w:sz w:val="24"/>
        </w:rPr>
        <w:t>.</w:t>
      </w:r>
    </w:p>
    <w:p w:rsidR="005E725D" w:rsidRPr="00A815E2" w:rsidRDefault="00DF6F3A">
      <w:pPr>
        <w:rPr>
          <w:b/>
          <w:sz w:val="24"/>
          <w:highlight w:val="yellow"/>
          <w:u w:val="single"/>
        </w:rPr>
      </w:pPr>
      <w:r w:rsidRPr="00A815E2">
        <w:rPr>
          <w:b/>
          <w:sz w:val="24"/>
          <w:highlight w:val="yellow"/>
          <w:u w:val="single"/>
        </w:rPr>
        <w:t xml:space="preserve">Step 1: </w:t>
      </w:r>
      <w:r w:rsidR="005E725D" w:rsidRPr="00A815E2">
        <w:rPr>
          <w:b/>
          <w:sz w:val="24"/>
          <w:highlight w:val="yellow"/>
          <w:u w:val="single"/>
        </w:rPr>
        <w:t>R</w:t>
      </w:r>
      <w:r w:rsidR="00A6544C" w:rsidRPr="00A815E2">
        <w:rPr>
          <w:b/>
          <w:sz w:val="24"/>
          <w:highlight w:val="yellow"/>
          <w:u w:val="single"/>
        </w:rPr>
        <w:t>eview Category</w:t>
      </w:r>
      <w:r w:rsidR="005E725D" w:rsidRPr="00A815E2">
        <w:rPr>
          <w:b/>
          <w:sz w:val="24"/>
          <w:highlight w:val="yellow"/>
          <w:u w:val="single"/>
        </w:rPr>
        <w:t xml:space="preserve"> 1/2 </w:t>
      </w:r>
      <w:r w:rsidR="00A6544C" w:rsidRPr="00A815E2">
        <w:rPr>
          <w:b/>
          <w:sz w:val="24"/>
          <w:highlight w:val="yellow"/>
          <w:u w:val="single"/>
        </w:rPr>
        <w:t>Project</w:t>
      </w:r>
    </w:p>
    <w:p w:rsidR="00A6544C" w:rsidRPr="00F07029" w:rsidRDefault="00A6544C" w:rsidP="000A0668">
      <w:pPr>
        <w:pStyle w:val="ListParagraph"/>
        <w:numPr>
          <w:ilvl w:val="0"/>
          <w:numId w:val="2"/>
        </w:numPr>
        <w:jc w:val="both"/>
        <w:rPr>
          <w:sz w:val="21"/>
          <w:szCs w:val="21"/>
        </w:rPr>
      </w:pPr>
      <w:r w:rsidRPr="00F07029">
        <w:rPr>
          <w:b/>
          <w:sz w:val="21"/>
          <w:szCs w:val="21"/>
        </w:rPr>
        <w:t xml:space="preserve">Do you have any </w:t>
      </w:r>
      <w:r w:rsidR="00A815E2">
        <w:rPr>
          <w:b/>
          <w:sz w:val="21"/>
          <w:szCs w:val="21"/>
        </w:rPr>
        <w:t>DY3 carry</w:t>
      </w:r>
      <w:r w:rsidR="005E725D" w:rsidRPr="00F07029">
        <w:rPr>
          <w:b/>
          <w:sz w:val="21"/>
          <w:szCs w:val="21"/>
        </w:rPr>
        <w:t>forward metrics</w:t>
      </w:r>
      <w:r w:rsidRPr="00F07029">
        <w:rPr>
          <w:b/>
          <w:sz w:val="21"/>
          <w:szCs w:val="21"/>
        </w:rPr>
        <w:t xml:space="preserve"> that require reporting</w:t>
      </w:r>
      <w:r w:rsidRPr="00F07029">
        <w:rPr>
          <w:sz w:val="21"/>
          <w:szCs w:val="21"/>
        </w:rPr>
        <w:t xml:space="preserve"> (these are noted in the online system with</w:t>
      </w:r>
      <w:r w:rsidR="00DF6F3A">
        <w:rPr>
          <w:sz w:val="21"/>
          <w:szCs w:val="21"/>
        </w:rPr>
        <w:t xml:space="preserve"> an </w:t>
      </w:r>
      <w:r w:rsidR="00E847C0">
        <w:rPr>
          <w:sz w:val="21"/>
          <w:szCs w:val="21"/>
        </w:rPr>
        <w:t>asterisk</w:t>
      </w:r>
      <w:r w:rsidR="00E847C0" w:rsidRPr="00E847C0">
        <w:rPr>
          <w:b/>
          <w:sz w:val="21"/>
          <w:szCs w:val="21"/>
        </w:rPr>
        <w:t>*</w:t>
      </w:r>
      <w:r w:rsidR="00ED59C3" w:rsidRPr="00F07029">
        <w:rPr>
          <w:sz w:val="21"/>
          <w:szCs w:val="21"/>
        </w:rPr>
        <w:t xml:space="preserve">)? </w:t>
      </w:r>
    </w:p>
    <w:p w:rsidR="005E725D" w:rsidRPr="00F07029" w:rsidRDefault="0027337E" w:rsidP="000A0668">
      <w:pPr>
        <w:pStyle w:val="ListParagraph"/>
        <w:numPr>
          <w:ilvl w:val="1"/>
          <w:numId w:val="2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 xml:space="preserve">If yes - </w:t>
      </w:r>
      <w:r w:rsidR="005E725D" w:rsidRPr="00F07029">
        <w:rPr>
          <w:sz w:val="21"/>
          <w:szCs w:val="21"/>
        </w:rPr>
        <w:t>October D</w:t>
      </w:r>
      <w:r w:rsidR="000A0668">
        <w:rPr>
          <w:sz w:val="21"/>
          <w:szCs w:val="21"/>
        </w:rPr>
        <w:t xml:space="preserve">Y4 is the last opportunity </w:t>
      </w:r>
      <w:r w:rsidR="00A815E2">
        <w:rPr>
          <w:sz w:val="21"/>
          <w:szCs w:val="21"/>
        </w:rPr>
        <w:t>for providers to report on DY3 carry</w:t>
      </w:r>
      <w:r w:rsidR="005E725D" w:rsidRPr="00F07029">
        <w:rPr>
          <w:sz w:val="21"/>
          <w:szCs w:val="21"/>
        </w:rPr>
        <w:t>forward</w:t>
      </w:r>
      <w:r w:rsidR="00A6544C" w:rsidRPr="00F07029">
        <w:rPr>
          <w:sz w:val="21"/>
          <w:szCs w:val="21"/>
        </w:rPr>
        <w:t>.</w:t>
      </w:r>
    </w:p>
    <w:p w:rsidR="00A6544C" w:rsidRPr="00F07029" w:rsidRDefault="00A6544C" w:rsidP="000A0668">
      <w:pPr>
        <w:pStyle w:val="ListParagraph"/>
        <w:numPr>
          <w:ilvl w:val="0"/>
          <w:numId w:val="2"/>
        </w:numPr>
        <w:jc w:val="both"/>
        <w:rPr>
          <w:b/>
          <w:sz w:val="21"/>
          <w:szCs w:val="21"/>
        </w:rPr>
      </w:pPr>
      <w:r w:rsidRPr="00F07029">
        <w:rPr>
          <w:b/>
          <w:sz w:val="21"/>
          <w:szCs w:val="21"/>
        </w:rPr>
        <w:t xml:space="preserve">Do you have any DY4 metrics </w:t>
      </w:r>
      <w:r w:rsidR="00DF6F3A">
        <w:rPr>
          <w:b/>
          <w:sz w:val="21"/>
          <w:szCs w:val="21"/>
        </w:rPr>
        <w:t xml:space="preserve">that were not reported as complete during </w:t>
      </w:r>
      <w:r w:rsidR="00463661">
        <w:rPr>
          <w:b/>
          <w:sz w:val="21"/>
          <w:szCs w:val="21"/>
        </w:rPr>
        <w:t xml:space="preserve">the </w:t>
      </w:r>
      <w:r w:rsidR="00DF6F3A">
        <w:rPr>
          <w:b/>
          <w:sz w:val="21"/>
          <w:szCs w:val="21"/>
        </w:rPr>
        <w:t>April DY4 reporting period</w:t>
      </w:r>
      <w:r w:rsidRPr="00F07029">
        <w:rPr>
          <w:b/>
          <w:sz w:val="21"/>
          <w:szCs w:val="21"/>
        </w:rPr>
        <w:t>?</w:t>
      </w:r>
    </w:p>
    <w:p w:rsidR="0027337E" w:rsidRPr="00F07029" w:rsidRDefault="0027337E" w:rsidP="000A0668">
      <w:pPr>
        <w:pStyle w:val="ListParagraph"/>
        <w:numPr>
          <w:ilvl w:val="1"/>
          <w:numId w:val="2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 xml:space="preserve">If yes </w:t>
      </w:r>
      <w:r w:rsidR="00463661">
        <w:rPr>
          <w:sz w:val="21"/>
          <w:szCs w:val="21"/>
        </w:rPr>
        <w:t>–</w:t>
      </w:r>
      <w:r w:rsidRPr="00F07029">
        <w:rPr>
          <w:sz w:val="21"/>
          <w:szCs w:val="21"/>
        </w:rPr>
        <w:t xml:space="preserve"> </w:t>
      </w:r>
      <w:r w:rsidR="00463661">
        <w:rPr>
          <w:sz w:val="21"/>
          <w:szCs w:val="21"/>
        </w:rPr>
        <w:t>update drop-down menu with one of the following</w:t>
      </w:r>
      <w:r w:rsidRPr="00F07029">
        <w:rPr>
          <w:sz w:val="21"/>
          <w:szCs w:val="21"/>
        </w:rPr>
        <w:t>:</w:t>
      </w:r>
    </w:p>
    <w:p w:rsidR="0027337E" w:rsidRDefault="00E847C0" w:rsidP="000A0668">
      <w:pPr>
        <w:pStyle w:val="ListParagraph"/>
        <w:numPr>
          <w:ilvl w:val="2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“Yes – </w:t>
      </w:r>
      <w:r w:rsidR="0027337E" w:rsidRPr="00F07029">
        <w:rPr>
          <w:sz w:val="21"/>
          <w:szCs w:val="21"/>
        </w:rPr>
        <w:t>C</w:t>
      </w:r>
      <w:r w:rsidR="00DF6F3A">
        <w:rPr>
          <w:sz w:val="21"/>
          <w:szCs w:val="21"/>
        </w:rPr>
        <w:t>ompleted</w:t>
      </w:r>
      <w:r>
        <w:rPr>
          <w:sz w:val="21"/>
          <w:szCs w:val="21"/>
        </w:rPr>
        <w:t>”</w:t>
      </w:r>
      <w:r w:rsidR="00DF6F3A">
        <w:rPr>
          <w:sz w:val="21"/>
          <w:szCs w:val="21"/>
        </w:rPr>
        <w:t xml:space="preserve"> – submit </w:t>
      </w:r>
      <w:hyperlink r:id="rId5" w:history="1">
        <w:r w:rsidR="00DF6F3A" w:rsidRPr="00CD2E65">
          <w:rPr>
            <w:rStyle w:val="Hyperlink"/>
            <w:b/>
            <w:sz w:val="21"/>
            <w:szCs w:val="21"/>
          </w:rPr>
          <w:t>Coversheet</w:t>
        </w:r>
        <w:r w:rsidR="00DF6F3A" w:rsidRPr="00DF6F3A">
          <w:rPr>
            <w:rStyle w:val="Hyperlink"/>
            <w:sz w:val="21"/>
            <w:szCs w:val="21"/>
          </w:rPr>
          <w:t xml:space="preserve"> </w:t>
        </w:r>
      </w:hyperlink>
      <w:r w:rsidR="00DF6F3A">
        <w:rPr>
          <w:sz w:val="21"/>
          <w:szCs w:val="21"/>
        </w:rPr>
        <w:t>and supporting documentation as needed</w:t>
      </w:r>
    </w:p>
    <w:p w:rsidR="00E847C0" w:rsidRPr="00E847C0" w:rsidRDefault="00E847C0" w:rsidP="00E847C0">
      <w:pPr>
        <w:pStyle w:val="ListParagraph"/>
        <w:numPr>
          <w:ilvl w:val="2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“Partially Completed” – </w:t>
      </w:r>
      <w:r w:rsidR="00463661">
        <w:rPr>
          <w:sz w:val="21"/>
          <w:szCs w:val="21"/>
        </w:rPr>
        <w:t>r</w:t>
      </w:r>
      <w:r w:rsidR="00A815E2">
        <w:rPr>
          <w:sz w:val="21"/>
          <w:szCs w:val="21"/>
        </w:rPr>
        <w:t>equest carry</w:t>
      </w:r>
      <w:r w:rsidRPr="00E847C0">
        <w:rPr>
          <w:sz w:val="21"/>
          <w:szCs w:val="21"/>
        </w:rPr>
        <w:t>forward to DY5</w:t>
      </w:r>
    </w:p>
    <w:p w:rsidR="005E725D" w:rsidRPr="00E847C0" w:rsidRDefault="00E847C0" w:rsidP="00E847C0">
      <w:pPr>
        <w:pStyle w:val="ListParagraph"/>
        <w:numPr>
          <w:ilvl w:val="2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“No – Not Started” – </w:t>
      </w:r>
      <w:r w:rsidR="00463661">
        <w:rPr>
          <w:sz w:val="21"/>
          <w:szCs w:val="21"/>
        </w:rPr>
        <w:t>r</w:t>
      </w:r>
      <w:r w:rsidR="00A815E2">
        <w:rPr>
          <w:sz w:val="21"/>
          <w:szCs w:val="21"/>
        </w:rPr>
        <w:t>equest carry</w:t>
      </w:r>
      <w:r w:rsidR="00DF6F3A" w:rsidRPr="00E847C0">
        <w:rPr>
          <w:sz w:val="21"/>
          <w:szCs w:val="21"/>
        </w:rPr>
        <w:t>forward to DY5</w:t>
      </w:r>
    </w:p>
    <w:p w:rsidR="00A6544C" w:rsidRPr="00A815E2" w:rsidRDefault="00DF6F3A">
      <w:pPr>
        <w:rPr>
          <w:b/>
          <w:sz w:val="24"/>
          <w:highlight w:val="yellow"/>
          <w:u w:val="single"/>
        </w:rPr>
      </w:pPr>
      <w:r w:rsidRPr="00A815E2">
        <w:rPr>
          <w:b/>
          <w:sz w:val="24"/>
          <w:highlight w:val="yellow"/>
          <w:u w:val="single"/>
        </w:rPr>
        <w:t xml:space="preserve">Step 2: </w:t>
      </w:r>
      <w:r w:rsidR="00A6544C" w:rsidRPr="00A815E2">
        <w:rPr>
          <w:b/>
          <w:sz w:val="24"/>
          <w:highlight w:val="yellow"/>
          <w:u w:val="single"/>
        </w:rPr>
        <w:t xml:space="preserve">Review </w:t>
      </w:r>
      <w:r w:rsidR="0027337E" w:rsidRPr="00A815E2">
        <w:rPr>
          <w:b/>
          <w:sz w:val="24"/>
          <w:highlight w:val="yellow"/>
          <w:u w:val="single"/>
        </w:rPr>
        <w:t>Quantifiable Patient Impact (</w:t>
      </w:r>
      <w:r w:rsidR="00A6544C" w:rsidRPr="00A815E2">
        <w:rPr>
          <w:b/>
          <w:sz w:val="24"/>
          <w:highlight w:val="yellow"/>
          <w:u w:val="single"/>
        </w:rPr>
        <w:t>QPI</w:t>
      </w:r>
      <w:r w:rsidR="0027337E" w:rsidRPr="00A815E2">
        <w:rPr>
          <w:b/>
          <w:sz w:val="24"/>
          <w:highlight w:val="yellow"/>
          <w:u w:val="single"/>
        </w:rPr>
        <w:t>)</w:t>
      </w:r>
      <w:r w:rsidRPr="00A815E2">
        <w:rPr>
          <w:b/>
          <w:sz w:val="24"/>
          <w:highlight w:val="yellow"/>
          <w:u w:val="single"/>
        </w:rPr>
        <w:t xml:space="preserve"> Metric</w:t>
      </w:r>
    </w:p>
    <w:p w:rsidR="00A6544C" w:rsidRPr="00F07029" w:rsidRDefault="00A6544C" w:rsidP="000A0668">
      <w:pPr>
        <w:pStyle w:val="ListParagraph"/>
        <w:numPr>
          <w:ilvl w:val="0"/>
          <w:numId w:val="7"/>
        </w:numPr>
        <w:jc w:val="both"/>
        <w:rPr>
          <w:sz w:val="21"/>
          <w:szCs w:val="21"/>
        </w:rPr>
      </w:pPr>
      <w:r w:rsidRPr="00E847C0">
        <w:rPr>
          <w:sz w:val="21"/>
          <w:szCs w:val="21"/>
        </w:rPr>
        <w:t xml:space="preserve">Every </w:t>
      </w:r>
      <w:r w:rsidR="00A815E2">
        <w:rPr>
          <w:sz w:val="21"/>
          <w:szCs w:val="21"/>
        </w:rPr>
        <w:t>p</w:t>
      </w:r>
      <w:r w:rsidRPr="00E847C0">
        <w:rPr>
          <w:sz w:val="21"/>
          <w:szCs w:val="21"/>
        </w:rPr>
        <w:t xml:space="preserve">rovider is required </w:t>
      </w:r>
      <w:r w:rsidR="00463661">
        <w:rPr>
          <w:sz w:val="21"/>
          <w:szCs w:val="21"/>
        </w:rPr>
        <w:t>to report on QPI during October</w:t>
      </w:r>
      <w:r w:rsidRPr="00F07029">
        <w:rPr>
          <w:sz w:val="21"/>
          <w:szCs w:val="21"/>
        </w:rPr>
        <w:t xml:space="preserve"> regardless if </w:t>
      </w:r>
      <w:r w:rsidR="00463661">
        <w:rPr>
          <w:sz w:val="21"/>
          <w:szCs w:val="21"/>
        </w:rPr>
        <w:t>provider</w:t>
      </w:r>
      <w:r w:rsidRPr="00F07029">
        <w:rPr>
          <w:sz w:val="21"/>
          <w:szCs w:val="21"/>
        </w:rPr>
        <w:t xml:space="preserve"> reported </w:t>
      </w:r>
      <w:r w:rsidR="00463661">
        <w:rPr>
          <w:sz w:val="21"/>
          <w:szCs w:val="21"/>
        </w:rPr>
        <w:t>QPI metric</w:t>
      </w:r>
      <w:r w:rsidRPr="00F07029">
        <w:rPr>
          <w:sz w:val="21"/>
          <w:szCs w:val="21"/>
        </w:rPr>
        <w:t xml:space="preserve"> as complete in April.</w:t>
      </w:r>
    </w:p>
    <w:p w:rsidR="00A6544C" w:rsidRPr="00F07029" w:rsidRDefault="00A6544C" w:rsidP="000A0668">
      <w:pPr>
        <w:pStyle w:val="ListParagraph"/>
        <w:numPr>
          <w:ilvl w:val="0"/>
          <w:numId w:val="7"/>
        </w:numPr>
        <w:jc w:val="both"/>
        <w:rPr>
          <w:sz w:val="21"/>
          <w:szCs w:val="21"/>
        </w:rPr>
      </w:pPr>
      <w:r w:rsidRPr="00F07029">
        <w:rPr>
          <w:bCs/>
          <w:sz w:val="21"/>
          <w:szCs w:val="21"/>
        </w:rPr>
        <w:t xml:space="preserve">Read the </w:t>
      </w:r>
      <w:hyperlink r:id="rId6" w:history="1">
        <w:r w:rsidR="00DF6F3A" w:rsidRPr="00CD2E65">
          <w:rPr>
            <w:rStyle w:val="Hyperlink"/>
            <w:b/>
            <w:bCs/>
            <w:sz w:val="21"/>
            <w:szCs w:val="21"/>
          </w:rPr>
          <w:t xml:space="preserve">HHSC </w:t>
        </w:r>
        <w:r w:rsidRPr="00CD2E65">
          <w:rPr>
            <w:rStyle w:val="Hyperlink"/>
            <w:b/>
            <w:bCs/>
            <w:sz w:val="21"/>
            <w:szCs w:val="21"/>
          </w:rPr>
          <w:t>QPI Reporting Companion Documen</w:t>
        </w:r>
        <w:r w:rsidR="00DF6F3A" w:rsidRPr="00CD2E65">
          <w:rPr>
            <w:rStyle w:val="Hyperlink"/>
            <w:b/>
            <w:bCs/>
            <w:sz w:val="21"/>
            <w:szCs w:val="21"/>
          </w:rPr>
          <w:t>t</w:t>
        </w:r>
      </w:hyperlink>
      <w:r w:rsidR="00DF6F3A">
        <w:rPr>
          <w:bCs/>
          <w:sz w:val="21"/>
          <w:szCs w:val="21"/>
        </w:rPr>
        <w:t xml:space="preserve">  </w:t>
      </w:r>
      <w:r w:rsidRPr="00F07029">
        <w:rPr>
          <w:bCs/>
          <w:sz w:val="21"/>
          <w:szCs w:val="21"/>
        </w:rPr>
        <w:t>before enter</w:t>
      </w:r>
      <w:r w:rsidR="00463661">
        <w:rPr>
          <w:bCs/>
          <w:sz w:val="21"/>
          <w:szCs w:val="21"/>
        </w:rPr>
        <w:t>ing information in the template</w:t>
      </w:r>
      <w:r w:rsidRPr="00F07029">
        <w:rPr>
          <w:bCs/>
          <w:sz w:val="21"/>
          <w:szCs w:val="21"/>
        </w:rPr>
        <w:t xml:space="preserve"> and refer to</w:t>
      </w:r>
      <w:r w:rsidR="00463661">
        <w:rPr>
          <w:bCs/>
          <w:sz w:val="21"/>
          <w:szCs w:val="21"/>
        </w:rPr>
        <w:t xml:space="preserve"> the</w:t>
      </w:r>
      <w:r w:rsidRPr="00F07029">
        <w:rPr>
          <w:bCs/>
          <w:sz w:val="21"/>
          <w:szCs w:val="21"/>
        </w:rPr>
        <w:t xml:space="preserve"> ‘Instructions’ included in the first tab of the QPI Template workbook for general guidance</w:t>
      </w:r>
      <w:r w:rsidR="0027337E" w:rsidRPr="00F07029">
        <w:rPr>
          <w:bCs/>
          <w:sz w:val="21"/>
          <w:szCs w:val="21"/>
        </w:rPr>
        <w:t>.</w:t>
      </w:r>
    </w:p>
    <w:p w:rsidR="007C6FED" w:rsidRPr="007C6FED" w:rsidRDefault="00A815E2" w:rsidP="007C6FED">
      <w:pPr>
        <w:pStyle w:val="ListParagraph"/>
        <w:numPr>
          <w:ilvl w:val="0"/>
          <w:numId w:val="7"/>
        </w:numPr>
        <w:jc w:val="both"/>
        <w:rPr>
          <w:sz w:val="21"/>
          <w:szCs w:val="21"/>
        </w:rPr>
      </w:pPr>
      <w:r>
        <w:rPr>
          <w:bCs/>
          <w:sz w:val="21"/>
          <w:szCs w:val="21"/>
        </w:rPr>
        <w:t>If a p</w:t>
      </w:r>
      <w:r w:rsidR="00A6544C" w:rsidRPr="00F07029">
        <w:rPr>
          <w:bCs/>
          <w:sz w:val="21"/>
          <w:szCs w:val="21"/>
        </w:rPr>
        <w:t>rovider is reporting achievement of a QPI metr</w:t>
      </w:r>
      <w:r>
        <w:rPr>
          <w:bCs/>
          <w:sz w:val="21"/>
          <w:szCs w:val="21"/>
        </w:rPr>
        <w:t>ic in October for payment, the p</w:t>
      </w:r>
      <w:r w:rsidR="00A6544C" w:rsidRPr="00F07029">
        <w:rPr>
          <w:bCs/>
          <w:sz w:val="21"/>
          <w:szCs w:val="21"/>
        </w:rPr>
        <w:t xml:space="preserve">rovider must demonstrate that the QPI goal was achieved </w:t>
      </w:r>
      <w:r w:rsidR="0027337E" w:rsidRPr="00F07029">
        <w:rPr>
          <w:bCs/>
          <w:sz w:val="21"/>
          <w:szCs w:val="21"/>
        </w:rPr>
        <w:t>du</w:t>
      </w:r>
      <w:r w:rsidR="00DF6F3A">
        <w:rPr>
          <w:bCs/>
          <w:sz w:val="21"/>
          <w:szCs w:val="21"/>
        </w:rPr>
        <w:t>ring the specified time periods (</w:t>
      </w:r>
      <w:r w:rsidR="00E847C0">
        <w:rPr>
          <w:bCs/>
          <w:sz w:val="21"/>
          <w:szCs w:val="21"/>
        </w:rPr>
        <w:t xml:space="preserve">dates below from </w:t>
      </w:r>
      <w:r w:rsidR="00DF6F3A">
        <w:rPr>
          <w:bCs/>
          <w:sz w:val="21"/>
          <w:szCs w:val="21"/>
        </w:rPr>
        <w:t xml:space="preserve">page 3 of </w:t>
      </w:r>
      <w:hyperlink r:id="rId7" w:history="1">
        <w:r w:rsidR="00CD2E65" w:rsidRPr="00CD2E65">
          <w:rPr>
            <w:rStyle w:val="Hyperlink"/>
            <w:b/>
            <w:bCs/>
            <w:sz w:val="21"/>
            <w:szCs w:val="21"/>
          </w:rPr>
          <w:t>HHSC QPI Reporting Companion Document</w:t>
        </w:r>
      </w:hyperlink>
      <w:r w:rsidR="00DF6F3A">
        <w:rPr>
          <w:bCs/>
          <w:sz w:val="21"/>
          <w:szCs w:val="21"/>
        </w:rPr>
        <w:t>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3330"/>
        <w:gridCol w:w="3150"/>
      </w:tblGrid>
      <w:tr w:rsidR="007C6FED" w:rsidTr="007C6FED">
        <w:trPr>
          <w:jc w:val="center"/>
        </w:trPr>
        <w:tc>
          <w:tcPr>
            <w:tcW w:w="1435" w:type="dxa"/>
            <w:shd w:val="clear" w:color="auto" w:fill="5B9BD5" w:themeFill="accent1"/>
          </w:tcPr>
          <w:p w:rsidR="007C6FED" w:rsidRPr="007C6FED" w:rsidRDefault="007C6FED" w:rsidP="007C6FED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C6FED">
              <w:rPr>
                <w:b/>
                <w:color w:val="FFFFFF" w:themeColor="background1"/>
                <w:sz w:val="21"/>
                <w:szCs w:val="21"/>
              </w:rPr>
              <w:t>Metric DY</w:t>
            </w:r>
          </w:p>
        </w:tc>
        <w:tc>
          <w:tcPr>
            <w:tcW w:w="3330" w:type="dxa"/>
            <w:shd w:val="clear" w:color="auto" w:fill="5B9BD5" w:themeFill="accent1"/>
          </w:tcPr>
          <w:p w:rsidR="007C6FED" w:rsidRPr="007C6FED" w:rsidRDefault="007C6FED" w:rsidP="007C6FED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C6FED">
              <w:rPr>
                <w:b/>
                <w:color w:val="FFFFFF" w:themeColor="background1"/>
                <w:sz w:val="21"/>
                <w:szCs w:val="21"/>
              </w:rPr>
              <w:t>Not Reporting as Carryforward</w:t>
            </w:r>
          </w:p>
        </w:tc>
        <w:tc>
          <w:tcPr>
            <w:tcW w:w="3150" w:type="dxa"/>
            <w:shd w:val="clear" w:color="auto" w:fill="5B9BD5" w:themeFill="accent1"/>
          </w:tcPr>
          <w:p w:rsidR="007C6FED" w:rsidRPr="007C6FED" w:rsidRDefault="007C6FED" w:rsidP="007C6FED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C6FED">
              <w:rPr>
                <w:b/>
                <w:color w:val="FFFFFF" w:themeColor="background1"/>
                <w:sz w:val="21"/>
                <w:szCs w:val="21"/>
              </w:rPr>
              <w:t>Reporting as Carryforward</w:t>
            </w:r>
          </w:p>
        </w:tc>
      </w:tr>
      <w:tr w:rsidR="007C6FED" w:rsidTr="007C6FED">
        <w:trPr>
          <w:jc w:val="center"/>
        </w:trPr>
        <w:tc>
          <w:tcPr>
            <w:tcW w:w="1435" w:type="dxa"/>
            <w:shd w:val="clear" w:color="auto" w:fill="BFBFBF" w:themeFill="background1" w:themeFillShade="BF"/>
          </w:tcPr>
          <w:p w:rsidR="007C6FED" w:rsidRDefault="007C6FED" w:rsidP="007C6FE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DY3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:rsidR="007C6FED" w:rsidRDefault="007C6FED" w:rsidP="007C6FE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Oct. 1, 2013 – Sept. 30, 2014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7C6FED" w:rsidRDefault="007C6FED" w:rsidP="007C6FED">
            <w:r w:rsidRPr="00D95DCA">
              <w:rPr>
                <w:sz w:val="21"/>
                <w:szCs w:val="21"/>
              </w:rPr>
              <w:t>Oct. 1, 2013 – Sept.</w:t>
            </w:r>
            <w:r>
              <w:rPr>
                <w:sz w:val="21"/>
                <w:szCs w:val="21"/>
              </w:rPr>
              <w:t xml:space="preserve"> 30, 2015</w:t>
            </w:r>
          </w:p>
        </w:tc>
      </w:tr>
      <w:tr w:rsidR="007C6FED" w:rsidTr="007C6FED">
        <w:trPr>
          <w:jc w:val="center"/>
        </w:trPr>
        <w:tc>
          <w:tcPr>
            <w:tcW w:w="1435" w:type="dxa"/>
          </w:tcPr>
          <w:p w:rsidR="007C6FED" w:rsidRDefault="007C6FED" w:rsidP="007C6FE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DY4</w:t>
            </w:r>
          </w:p>
        </w:tc>
        <w:tc>
          <w:tcPr>
            <w:tcW w:w="3330" w:type="dxa"/>
          </w:tcPr>
          <w:p w:rsidR="007C6FED" w:rsidRDefault="007C6FED" w:rsidP="007C6FED">
            <w:r>
              <w:rPr>
                <w:sz w:val="21"/>
                <w:szCs w:val="21"/>
              </w:rPr>
              <w:t>Oct. 1, 2014</w:t>
            </w:r>
            <w:r w:rsidRPr="009E0723">
              <w:rPr>
                <w:sz w:val="21"/>
                <w:szCs w:val="21"/>
              </w:rPr>
              <w:t xml:space="preserve"> – Sept.</w:t>
            </w:r>
            <w:r>
              <w:rPr>
                <w:sz w:val="21"/>
                <w:szCs w:val="21"/>
              </w:rPr>
              <w:t xml:space="preserve"> 30, 2015</w:t>
            </w:r>
          </w:p>
        </w:tc>
        <w:tc>
          <w:tcPr>
            <w:tcW w:w="3150" w:type="dxa"/>
          </w:tcPr>
          <w:p w:rsidR="007C6FED" w:rsidRDefault="007C6FED" w:rsidP="007C6FED">
            <w:r>
              <w:rPr>
                <w:sz w:val="21"/>
                <w:szCs w:val="21"/>
              </w:rPr>
              <w:t>Oct. 1, 2014</w:t>
            </w:r>
            <w:r w:rsidRPr="00D95DCA">
              <w:rPr>
                <w:sz w:val="21"/>
                <w:szCs w:val="21"/>
              </w:rPr>
              <w:t xml:space="preserve"> – Sept.</w:t>
            </w:r>
            <w:r>
              <w:rPr>
                <w:sz w:val="21"/>
                <w:szCs w:val="21"/>
              </w:rPr>
              <w:t xml:space="preserve"> 30, 2016</w:t>
            </w:r>
          </w:p>
        </w:tc>
      </w:tr>
      <w:tr w:rsidR="007C6FED" w:rsidTr="007C6FED">
        <w:trPr>
          <w:jc w:val="center"/>
        </w:trPr>
        <w:tc>
          <w:tcPr>
            <w:tcW w:w="1435" w:type="dxa"/>
            <w:shd w:val="clear" w:color="auto" w:fill="BFBFBF" w:themeFill="background1" w:themeFillShade="BF"/>
          </w:tcPr>
          <w:p w:rsidR="007C6FED" w:rsidRDefault="007C6FED" w:rsidP="007C6FE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DY5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:rsidR="007C6FED" w:rsidRDefault="007C6FED" w:rsidP="007C6FED">
            <w:r>
              <w:rPr>
                <w:sz w:val="21"/>
                <w:szCs w:val="21"/>
              </w:rPr>
              <w:t>Oct. 1, 2015</w:t>
            </w:r>
            <w:r w:rsidRPr="009E0723">
              <w:rPr>
                <w:sz w:val="21"/>
                <w:szCs w:val="21"/>
              </w:rPr>
              <w:t xml:space="preserve"> – Sept.</w:t>
            </w:r>
            <w:r>
              <w:rPr>
                <w:sz w:val="21"/>
                <w:szCs w:val="21"/>
              </w:rPr>
              <w:t xml:space="preserve"> 30, 2016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7C6FED" w:rsidRDefault="007C6FED" w:rsidP="007C6FED">
            <w:r>
              <w:rPr>
                <w:sz w:val="21"/>
                <w:szCs w:val="21"/>
              </w:rPr>
              <w:t>Oct. 1, 2015</w:t>
            </w:r>
            <w:r w:rsidRPr="00D95DCA">
              <w:rPr>
                <w:sz w:val="21"/>
                <w:szCs w:val="21"/>
              </w:rPr>
              <w:t xml:space="preserve"> – Sept.</w:t>
            </w:r>
            <w:r>
              <w:rPr>
                <w:sz w:val="21"/>
                <w:szCs w:val="21"/>
              </w:rPr>
              <w:t xml:space="preserve"> 30, 2017</w:t>
            </w:r>
          </w:p>
        </w:tc>
      </w:tr>
    </w:tbl>
    <w:p w:rsidR="00084E21" w:rsidRPr="00084E21" w:rsidRDefault="00084E21" w:rsidP="00084E21">
      <w:pPr>
        <w:pStyle w:val="ListParagraph"/>
        <w:ind w:left="1080"/>
        <w:jc w:val="both"/>
        <w:rPr>
          <w:sz w:val="21"/>
          <w:szCs w:val="21"/>
        </w:rPr>
      </w:pPr>
    </w:p>
    <w:p w:rsidR="0027337E" w:rsidRPr="00F07029" w:rsidRDefault="0027337E" w:rsidP="00084E21">
      <w:pPr>
        <w:pStyle w:val="ListParagraph"/>
        <w:numPr>
          <w:ilvl w:val="0"/>
          <w:numId w:val="12"/>
        </w:numPr>
        <w:jc w:val="both"/>
        <w:rPr>
          <w:sz w:val="21"/>
          <w:szCs w:val="21"/>
        </w:rPr>
      </w:pPr>
      <w:r w:rsidRPr="00F07029">
        <w:rPr>
          <w:b/>
          <w:sz w:val="21"/>
          <w:szCs w:val="21"/>
        </w:rPr>
        <w:t xml:space="preserve">If reporting DY3 </w:t>
      </w:r>
      <w:r w:rsidR="007C6FED">
        <w:rPr>
          <w:b/>
          <w:sz w:val="21"/>
          <w:szCs w:val="21"/>
        </w:rPr>
        <w:t>carryf</w:t>
      </w:r>
      <w:r w:rsidRPr="00F07029">
        <w:rPr>
          <w:b/>
          <w:sz w:val="21"/>
          <w:szCs w:val="21"/>
        </w:rPr>
        <w:t xml:space="preserve">orward </w:t>
      </w:r>
      <w:r w:rsidR="007C6FED">
        <w:rPr>
          <w:b/>
          <w:sz w:val="21"/>
          <w:szCs w:val="21"/>
        </w:rPr>
        <w:t>as complete</w:t>
      </w:r>
      <w:r w:rsidRPr="00F07029">
        <w:rPr>
          <w:sz w:val="21"/>
          <w:szCs w:val="21"/>
        </w:rPr>
        <w:t>, select “Reporting DY3 metric achievement as carryforward” in row 39/column D on the ‘Project Data Entry’ tab</w:t>
      </w:r>
    </w:p>
    <w:p w:rsidR="00A6544C" w:rsidRPr="00F07029" w:rsidRDefault="0027337E" w:rsidP="000A0668">
      <w:pPr>
        <w:pStyle w:val="ListParagraph"/>
        <w:numPr>
          <w:ilvl w:val="1"/>
          <w:numId w:val="7"/>
        </w:numPr>
        <w:jc w:val="both"/>
        <w:rPr>
          <w:sz w:val="21"/>
          <w:szCs w:val="21"/>
        </w:rPr>
      </w:pPr>
      <w:r w:rsidRPr="00F07029">
        <w:rPr>
          <w:b/>
          <w:bCs/>
          <w:sz w:val="21"/>
          <w:szCs w:val="21"/>
        </w:rPr>
        <w:t>If reporting DY4 completion</w:t>
      </w:r>
      <w:r w:rsidRPr="00F07029">
        <w:rPr>
          <w:bCs/>
          <w:sz w:val="21"/>
          <w:szCs w:val="21"/>
        </w:rPr>
        <w:t xml:space="preserve">, select </w:t>
      </w:r>
      <w:r w:rsidRPr="00F07029">
        <w:rPr>
          <w:sz w:val="21"/>
          <w:szCs w:val="21"/>
        </w:rPr>
        <w:t>“Reporting DY4 metric achievement in DY4 reporting period” in row 39/column E on the ‘Project Data Entry’ tab</w:t>
      </w:r>
    </w:p>
    <w:p w:rsidR="0027337E" w:rsidRPr="00F07029" w:rsidRDefault="007C6FED" w:rsidP="000A0668">
      <w:pPr>
        <w:pStyle w:val="ListParagraph"/>
        <w:numPr>
          <w:ilvl w:val="1"/>
          <w:numId w:val="7"/>
        </w:numPr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If requesting carry</w:t>
      </w:r>
      <w:r w:rsidR="0027337E" w:rsidRPr="00F07029">
        <w:rPr>
          <w:b/>
          <w:bCs/>
          <w:sz w:val="21"/>
          <w:szCs w:val="21"/>
        </w:rPr>
        <w:t>forward for DY4</w:t>
      </w:r>
      <w:r w:rsidR="0027337E" w:rsidRPr="00F07029">
        <w:rPr>
          <w:bCs/>
          <w:sz w:val="21"/>
          <w:szCs w:val="21"/>
        </w:rPr>
        <w:t xml:space="preserve">, select </w:t>
      </w:r>
      <w:r w:rsidR="0027337E" w:rsidRPr="00F07029">
        <w:rPr>
          <w:sz w:val="21"/>
          <w:szCs w:val="21"/>
        </w:rPr>
        <w:t>“Not ready to report DY4 metric achievement” in row 39/column E on the ‘Project Data Entry’ tab</w:t>
      </w:r>
    </w:p>
    <w:p w:rsidR="00A6544C" w:rsidRPr="00F07029" w:rsidRDefault="00A6544C" w:rsidP="000A0668">
      <w:pPr>
        <w:pStyle w:val="ListParagraph"/>
        <w:numPr>
          <w:ilvl w:val="0"/>
          <w:numId w:val="7"/>
        </w:numPr>
        <w:jc w:val="both"/>
        <w:rPr>
          <w:sz w:val="21"/>
          <w:szCs w:val="21"/>
        </w:rPr>
      </w:pPr>
      <w:r w:rsidRPr="00F07029">
        <w:rPr>
          <w:bCs/>
          <w:sz w:val="21"/>
          <w:szCs w:val="21"/>
        </w:rPr>
        <w:t>Providers should only submit one QPI Template, per project, per reporting period.</w:t>
      </w:r>
    </w:p>
    <w:p w:rsidR="00A6544C" w:rsidRPr="00F07029" w:rsidRDefault="00A6544C" w:rsidP="000A0668">
      <w:pPr>
        <w:pStyle w:val="ListParagraph"/>
        <w:numPr>
          <w:ilvl w:val="0"/>
          <w:numId w:val="7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>If you plan to report completion of a QPI metric, the QPI Template will be the supporting attachment uploaded for your QPI metric.</w:t>
      </w:r>
    </w:p>
    <w:p w:rsidR="00DF6F3A" w:rsidRPr="007C6FED" w:rsidRDefault="00A6544C" w:rsidP="007C6FED">
      <w:pPr>
        <w:pStyle w:val="ListParagraph"/>
        <w:numPr>
          <w:ilvl w:val="0"/>
          <w:numId w:val="7"/>
        </w:numPr>
        <w:jc w:val="both"/>
        <w:rPr>
          <w:sz w:val="21"/>
          <w:szCs w:val="21"/>
        </w:rPr>
      </w:pPr>
      <w:r w:rsidRPr="00F07029">
        <w:rPr>
          <w:bCs/>
          <w:sz w:val="21"/>
          <w:szCs w:val="21"/>
        </w:rPr>
        <w:t>Step 6 should inc</w:t>
      </w:r>
      <w:r w:rsidR="007C6FED">
        <w:rPr>
          <w:bCs/>
          <w:sz w:val="21"/>
          <w:szCs w:val="21"/>
        </w:rPr>
        <w:t>lude all individuals served/</w:t>
      </w:r>
      <w:r w:rsidRPr="00F07029">
        <w:rPr>
          <w:bCs/>
          <w:sz w:val="21"/>
          <w:szCs w:val="21"/>
        </w:rPr>
        <w:t xml:space="preserve">encounters provided relative to the project, whether the individuals/encounters are due to the DSRIP expansion or due to capacity that was in place prior to DSRIP project implementation. </w:t>
      </w:r>
      <w:r w:rsidRPr="007C6FED">
        <w:rPr>
          <w:bCs/>
          <w:sz w:val="21"/>
          <w:szCs w:val="21"/>
        </w:rPr>
        <w:t xml:space="preserve">The QPI template takes the total service volume calculated based on Step 6, and subtracts the pre-DSRIP </w:t>
      </w:r>
      <w:r w:rsidR="007C6FED">
        <w:rPr>
          <w:bCs/>
          <w:sz w:val="21"/>
          <w:szCs w:val="21"/>
        </w:rPr>
        <w:t xml:space="preserve">amount </w:t>
      </w:r>
      <w:r w:rsidRPr="007C6FED">
        <w:rPr>
          <w:bCs/>
          <w:sz w:val="21"/>
          <w:szCs w:val="21"/>
        </w:rPr>
        <w:t xml:space="preserve">entered in Step 5. What </w:t>
      </w:r>
      <w:r w:rsidR="007C6FED">
        <w:rPr>
          <w:bCs/>
          <w:sz w:val="21"/>
          <w:szCs w:val="21"/>
        </w:rPr>
        <w:t xml:space="preserve">remains </w:t>
      </w:r>
      <w:r w:rsidRPr="007C6FED">
        <w:rPr>
          <w:bCs/>
          <w:sz w:val="21"/>
          <w:szCs w:val="21"/>
        </w:rPr>
        <w:t xml:space="preserve">is the QPI. </w:t>
      </w:r>
    </w:p>
    <w:p w:rsidR="00A6544C" w:rsidRPr="00DF6F3A" w:rsidRDefault="00593331" w:rsidP="00DF6F3A">
      <w:pPr>
        <w:pStyle w:val="ListParagraph"/>
        <w:numPr>
          <w:ilvl w:val="1"/>
          <w:numId w:val="7"/>
        </w:numPr>
        <w:rPr>
          <w:sz w:val="21"/>
          <w:szCs w:val="21"/>
        </w:rPr>
      </w:pPr>
      <w:r>
        <w:rPr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2DCF4" wp14:editId="14134014">
                <wp:simplePos x="0" y="0"/>
                <wp:positionH relativeFrom="column">
                  <wp:posOffset>2125980</wp:posOffset>
                </wp:positionH>
                <wp:positionV relativeFrom="paragraph">
                  <wp:posOffset>374650</wp:posOffset>
                </wp:positionV>
                <wp:extent cx="295275" cy="295275"/>
                <wp:effectExtent l="19050" t="1905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95275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548B7" id="Rounded Rectangle 2" o:spid="_x0000_s1026" style="position:absolute;margin-left:167.4pt;margin-top:29.5pt;width:23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" filled="f" strokecolor="red" strokeweight="2.5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37B55A3" wp14:editId="5D913D2F">
            <wp:simplePos x="0" y="0"/>
            <wp:positionH relativeFrom="column">
              <wp:posOffset>1716405</wp:posOffset>
            </wp:positionH>
            <wp:positionV relativeFrom="paragraph">
              <wp:posOffset>190500</wp:posOffset>
            </wp:positionV>
            <wp:extent cx="1733550" cy="509270"/>
            <wp:effectExtent l="19050" t="19050" r="19050" b="241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09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A6544C" w:rsidRPr="00DF6F3A">
        <w:rPr>
          <w:bCs/>
          <w:sz w:val="21"/>
          <w:szCs w:val="21"/>
        </w:rPr>
        <w:t>Use the “paste values” function when inserting data in Step 6.When right clicking in the QPI template to paste information select this icon:</w:t>
      </w:r>
      <w:r w:rsidR="00DF6F3A">
        <w:rPr>
          <w:bCs/>
          <w:sz w:val="21"/>
          <w:szCs w:val="21"/>
        </w:rPr>
        <w:t xml:space="preserve">    </w:t>
      </w:r>
    </w:p>
    <w:p w:rsidR="00E847C0" w:rsidRPr="00E847C0" w:rsidRDefault="00E847C0" w:rsidP="00E847C0">
      <w:pPr>
        <w:rPr>
          <w:bCs/>
          <w:sz w:val="21"/>
          <w:szCs w:val="21"/>
        </w:rPr>
      </w:pPr>
    </w:p>
    <w:p w:rsidR="00E847C0" w:rsidRPr="00E847C0" w:rsidRDefault="00E847C0" w:rsidP="00E847C0">
      <w:pPr>
        <w:pStyle w:val="ListParagraph"/>
        <w:numPr>
          <w:ilvl w:val="0"/>
          <w:numId w:val="9"/>
        </w:numPr>
        <w:rPr>
          <w:bCs/>
          <w:sz w:val="21"/>
          <w:szCs w:val="21"/>
        </w:rPr>
      </w:pPr>
      <w:r w:rsidRPr="00E847C0">
        <w:rPr>
          <w:b/>
          <w:bCs/>
          <w:sz w:val="21"/>
          <w:szCs w:val="21"/>
        </w:rPr>
        <w:t>Do you have the information you need to complete the QPI report or do you need to run reports to pull data?</w:t>
      </w:r>
      <w:r w:rsidRPr="00E847C0">
        <w:rPr>
          <w:bCs/>
          <w:sz w:val="21"/>
          <w:szCs w:val="21"/>
        </w:rPr>
        <w:t xml:space="preserve"> </w:t>
      </w:r>
    </w:p>
    <w:p w:rsidR="00E847C0" w:rsidRPr="00E847C0" w:rsidRDefault="00E847C0" w:rsidP="00E847C0">
      <w:pPr>
        <w:pStyle w:val="ListParagraph"/>
        <w:numPr>
          <w:ilvl w:val="1"/>
          <w:numId w:val="9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If you need to run reports, </w:t>
      </w:r>
      <w:r w:rsidR="00593331">
        <w:rPr>
          <w:bCs/>
          <w:sz w:val="21"/>
          <w:szCs w:val="21"/>
        </w:rPr>
        <w:t>consider</w:t>
      </w:r>
      <w:r>
        <w:rPr>
          <w:bCs/>
          <w:sz w:val="21"/>
          <w:szCs w:val="21"/>
        </w:rPr>
        <w:t xml:space="preserve"> </w:t>
      </w:r>
      <w:r w:rsidR="007C6FED">
        <w:rPr>
          <w:bCs/>
          <w:sz w:val="21"/>
          <w:szCs w:val="21"/>
        </w:rPr>
        <w:t>visiting</w:t>
      </w:r>
      <w:r>
        <w:rPr>
          <w:bCs/>
          <w:sz w:val="21"/>
          <w:szCs w:val="21"/>
        </w:rPr>
        <w:t xml:space="preserve"> with those affected (DSRIP team members, IT, etc.) to ensure you have the information you need well before reports are due.</w:t>
      </w:r>
    </w:p>
    <w:p w:rsidR="00A6544C" w:rsidRPr="00A815E2" w:rsidRDefault="00DF6F3A">
      <w:pPr>
        <w:rPr>
          <w:b/>
          <w:sz w:val="24"/>
          <w:highlight w:val="yellow"/>
          <w:u w:val="single"/>
        </w:rPr>
      </w:pPr>
      <w:r w:rsidRPr="00A815E2">
        <w:rPr>
          <w:b/>
          <w:sz w:val="24"/>
          <w:highlight w:val="yellow"/>
          <w:u w:val="single"/>
        </w:rPr>
        <w:t xml:space="preserve">Step 3: </w:t>
      </w:r>
      <w:r w:rsidR="005E725D" w:rsidRPr="00A815E2">
        <w:rPr>
          <w:b/>
          <w:sz w:val="24"/>
          <w:highlight w:val="yellow"/>
          <w:u w:val="single"/>
        </w:rPr>
        <w:t xml:space="preserve">Review </w:t>
      </w:r>
      <w:r w:rsidR="00A6544C" w:rsidRPr="00A815E2">
        <w:rPr>
          <w:b/>
          <w:sz w:val="24"/>
          <w:highlight w:val="yellow"/>
          <w:u w:val="single"/>
        </w:rPr>
        <w:t>As</w:t>
      </w:r>
      <w:r w:rsidR="005E725D" w:rsidRPr="00A815E2">
        <w:rPr>
          <w:b/>
          <w:sz w:val="24"/>
          <w:highlight w:val="yellow"/>
          <w:u w:val="single"/>
        </w:rPr>
        <w:t xml:space="preserve">sociated </w:t>
      </w:r>
      <w:r w:rsidR="00A6544C" w:rsidRPr="00A815E2">
        <w:rPr>
          <w:b/>
          <w:sz w:val="24"/>
          <w:highlight w:val="yellow"/>
          <w:u w:val="single"/>
        </w:rPr>
        <w:t>Category 3 P</w:t>
      </w:r>
      <w:r w:rsidR="005E725D" w:rsidRPr="00A815E2">
        <w:rPr>
          <w:b/>
          <w:sz w:val="24"/>
          <w:highlight w:val="yellow"/>
          <w:u w:val="single"/>
        </w:rPr>
        <w:t>roj</w:t>
      </w:r>
      <w:r w:rsidR="00A6544C" w:rsidRPr="00A815E2">
        <w:rPr>
          <w:b/>
          <w:sz w:val="24"/>
          <w:highlight w:val="yellow"/>
          <w:u w:val="single"/>
        </w:rPr>
        <w:t xml:space="preserve">ect(s) </w:t>
      </w:r>
    </w:p>
    <w:p w:rsidR="00A6544C" w:rsidRPr="00F07029" w:rsidRDefault="005E725D" w:rsidP="00A6544C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F07029">
        <w:rPr>
          <w:b/>
          <w:sz w:val="21"/>
          <w:szCs w:val="21"/>
        </w:rPr>
        <w:t>Are there any milestones that require PM-9</w:t>
      </w:r>
      <w:r w:rsidR="00A6544C" w:rsidRPr="00F07029">
        <w:rPr>
          <w:sz w:val="21"/>
          <w:szCs w:val="21"/>
        </w:rPr>
        <w:t xml:space="preserve"> (these are noted in the online system with an</w:t>
      </w:r>
      <w:r w:rsidR="00ED59C3" w:rsidRPr="00F07029">
        <w:rPr>
          <w:sz w:val="21"/>
          <w:szCs w:val="21"/>
        </w:rPr>
        <w:t xml:space="preserve"> </w:t>
      </w:r>
      <w:r w:rsidR="00E847C0">
        <w:rPr>
          <w:sz w:val="21"/>
          <w:szCs w:val="21"/>
        </w:rPr>
        <w:t>asterisk</w:t>
      </w:r>
      <w:r w:rsidR="00E847C0" w:rsidRPr="00E847C0">
        <w:rPr>
          <w:b/>
          <w:sz w:val="21"/>
          <w:szCs w:val="21"/>
        </w:rPr>
        <w:t>*</w:t>
      </w:r>
      <w:r w:rsidR="00A6544C" w:rsidRPr="00F07029">
        <w:rPr>
          <w:sz w:val="21"/>
          <w:szCs w:val="21"/>
        </w:rPr>
        <w:t>)?</w:t>
      </w:r>
    </w:p>
    <w:p w:rsidR="00ED59C3" w:rsidRPr="00F07029" w:rsidRDefault="005E725D" w:rsidP="000A0668">
      <w:pPr>
        <w:pStyle w:val="ListParagraph"/>
        <w:numPr>
          <w:ilvl w:val="1"/>
          <w:numId w:val="3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 xml:space="preserve">If yes, </w:t>
      </w:r>
      <w:r w:rsidR="007C6FED">
        <w:rPr>
          <w:sz w:val="21"/>
          <w:szCs w:val="21"/>
        </w:rPr>
        <w:t>October DY4</w:t>
      </w:r>
      <w:r w:rsidRPr="00F07029">
        <w:rPr>
          <w:sz w:val="21"/>
          <w:szCs w:val="21"/>
        </w:rPr>
        <w:t xml:space="preserve"> is </w:t>
      </w:r>
      <w:r w:rsidR="007C6FED">
        <w:rPr>
          <w:sz w:val="21"/>
          <w:szCs w:val="21"/>
        </w:rPr>
        <w:t>the</w:t>
      </w:r>
      <w:r w:rsidRPr="00F07029">
        <w:rPr>
          <w:sz w:val="21"/>
          <w:szCs w:val="21"/>
        </w:rPr>
        <w:t xml:space="preserve"> last opportunity to report and submit this template. </w:t>
      </w:r>
    </w:p>
    <w:p w:rsidR="00A815E2" w:rsidRDefault="005E725D" w:rsidP="00A815E2">
      <w:pPr>
        <w:pStyle w:val="ListParagraph"/>
        <w:numPr>
          <w:ilvl w:val="1"/>
          <w:numId w:val="3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>If you submit a PM-9 template (establishing the baseline), you cannot submit the PM-10 or AM-1 templates</w:t>
      </w:r>
      <w:r w:rsidR="00ED59C3" w:rsidRPr="00F07029">
        <w:rPr>
          <w:sz w:val="21"/>
          <w:szCs w:val="21"/>
        </w:rPr>
        <w:t xml:space="preserve"> during October</w:t>
      </w:r>
      <w:r w:rsidRPr="00F07029">
        <w:rPr>
          <w:sz w:val="21"/>
          <w:szCs w:val="21"/>
        </w:rPr>
        <w:t xml:space="preserve">. </w:t>
      </w:r>
    </w:p>
    <w:p w:rsidR="00A815E2" w:rsidRDefault="00A815E2" w:rsidP="00A815E2">
      <w:pPr>
        <w:jc w:val="both"/>
        <w:rPr>
          <w:sz w:val="21"/>
          <w:szCs w:val="21"/>
        </w:rPr>
      </w:pPr>
    </w:p>
    <w:p w:rsidR="00A815E2" w:rsidRPr="00A815E2" w:rsidRDefault="00A815E2" w:rsidP="00A815E2">
      <w:pPr>
        <w:jc w:val="both"/>
        <w:rPr>
          <w:sz w:val="21"/>
          <w:szCs w:val="21"/>
        </w:rPr>
      </w:pPr>
    </w:p>
    <w:p w:rsidR="005E725D" w:rsidRPr="00F07029" w:rsidRDefault="005E725D" w:rsidP="000A0668">
      <w:pPr>
        <w:pStyle w:val="ListParagraph"/>
        <w:numPr>
          <w:ilvl w:val="0"/>
          <w:numId w:val="3"/>
        </w:numPr>
        <w:jc w:val="both"/>
        <w:rPr>
          <w:b/>
          <w:sz w:val="21"/>
          <w:szCs w:val="21"/>
        </w:rPr>
      </w:pPr>
      <w:r w:rsidRPr="00F07029">
        <w:rPr>
          <w:b/>
          <w:sz w:val="21"/>
          <w:szCs w:val="21"/>
        </w:rPr>
        <w:lastRenderedPageBreak/>
        <w:t xml:space="preserve">Is your Cat 3 project a </w:t>
      </w:r>
      <w:r w:rsidR="00ED59C3" w:rsidRPr="00F07029">
        <w:rPr>
          <w:b/>
          <w:sz w:val="21"/>
          <w:szCs w:val="21"/>
        </w:rPr>
        <w:t>pay for performance (</w:t>
      </w:r>
      <w:r w:rsidRPr="00F07029">
        <w:rPr>
          <w:b/>
          <w:sz w:val="21"/>
          <w:szCs w:val="21"/>
        </w:rPr>
        <w:t>P4P</w:t>
      </w:r>
      <w:r w:rsidR="00ED59C3" w:rsidRPr="00F07029">
        <w:rPr>
          <w:b/>
          <w:sz w:val="21"/>
          <w:szCs w:val="21"/>
        </w:rPr>
        <w:t>)</w:t>
      </w:r>
      <w:r w:rsidRPr="00F07029">
        <w:rPr>
          <w:b/>
          <w:sz w:val="21"/>
          <w:szCs w:val="21"/>
        </w:rPr>
        <w:t xml:space="preserve"> or </w:t>
      </w:r>
      <w:r w:rsidR="00ED59C3" w:rsidRPr="00F07029">
        <w:rPr>
          <w:b/>
          <w:sz w:val="21"/>
          <w:szCs w:val="21"/>
        </w:rPr>
        <w:t>pay for reporting (</w:t>
      </w:r>
      <w:r w:rsidRPr="00F07029">
        <w:rPr>
          <w:b/>
          <w:sz w:val="21"/>
          <w:szCs w:val="21"/>
        </w:rPr>
        <w:t>P4R</w:t>
      </w:r>
      <w:r w:rsidR="00ED59C3" w:rsidRPr="00F07029">
        <w:rPr>
          <w:b/>
          <w:sz w:val="21"/>
          <w:szCs w:val="21"/>
        </w:rPr>
        <w:t>)</w:t>
      </w:r>
      <w:r w:rsidRPr="00F07029">
        <w:rPr>
          <w:b/>
          <w:sz w:val="21"/>
          <w:szCs w:val="21"/>
        </w:rPr>
        <w:t>?</w:t>
      </w:r>
    </w:p>
    <w:p w:rsidR="005E725D" w:rsidRPr="00F07029" w:rsidRDefault="00A6544C" w:rsidP="000A0668">
      <w:pPr>
        <w:pStyle w:val="ListParagraph"/>
        <w:numPr>
          <w:ilvl w:val="1"/>
          <w:numId w:val="3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 xml:space="preserve">If it is P4P, you are eligible to earn 50% of the DY4 payment through successful completion and reporting using the </w:t>
      </w:r>
      <w:r w:rsidR="000A0668">
        <w:rPr>
          <w:sz w:val="21"/>
          <w:szCs w:val="21"/>
        </w:rPr>
        <w:br/>
      </w:r>
      <w:r w:rsidRPr="00F07029">
        <w:rPr>
          <w:sz w:val="21"/>
          <w:szCs w:val="21"/>
        </w:rPr>
        <w:t>PM-10 template, and earn the other 50% of the DY4 payment through successful completion and reporting using the AM-1 template.</w:t>
      </w:r>
    </w:p>
    <w:p w:rsidR="007C6FED" w:rsidRDefault="00A6544C" w:rsidP="00A815E2">
      <w:pPr>
        <w:pStyle w:val="ListParagraph"/>
        <w:numPr>
          <w:ilvl w:val="1"/>
          <w:numId w:val="3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 xml:space="preserve">If it is P4R, you are eligible to earn 100% of the DY4 payment through successful completion and reporting using the </w:t>
      </w:r>
      <w:r w:rsidR="000A0668">
        <w:rPr>
          <w:sz w:val="21"/>
          <w:szCs w:val="21"/>
        </w:rPr>
        <w:br/>
      </w:r>
      <w:r w:rsidRPr="00F07029">
        <w:rPr>
          <w:sz w:val="21"/>
          <w:szCs w:val="21"/>
        </w:rPr>
        <w:t>PM-10 template.</w:t>
      </w:r>
    </w:p>
    <w:p w:rsidR="00A815E2" w:rsidRPr="00A815E2" w:rsidRDefault="00A815E2" w:rsidP="00A815E2">
      <w:pPr>
        <w:pStyle w:val="ListParagraph"/>
        <w:ind w:left="360"/>
        <w:jc w:val="both"/>
        <w:rPr>
          <w:b/>
          <w:color w:val="FF0000"/>
          <w:sz w:val="21"/>
          <w:szCs w:val="21"/>
        </w:rPr>
      </w:pPr>
      <w:r>
        <w:rPr>
          <w:b/>
          <w:color w:val="FF0000"/>
          <w:sz w:val="21"/>
          <w:szCs w:val="21"/>
        </w:rPr>
        <w:t xml:space="preserve">Note: </w:t>
      </w:r>
      <w:r w:rsidRPr="00A815E2">
        <w:rPr>
          <w:b/>
          <w:color w:val="FF0000"/>
          <w:sz w:val="21"/>
          <w:szCs w:val="21"/>
        </w:rPr>
        <w:t xml:space="preserve">Providers are encouraged to review </w:t>
      </w:r>
      <w:hyperlink r:id="rId9" w:history="1">
        <w:r w:rsidRPr="00A815E2">
          <w:rPr>
            <w:rStyle w:val="Hyperlink"/>
            <w:b/>
            <w:sz w:val="21"/>
            <w:szCs w:val="21"/>
          </w:rPr>
          <w:t>HHSC Category 3 DY4 Reporting Instructions</w:t>
        </w:r>
      </w:hyperlink>
      <w:r w:rsidRPr="00A815E2">
        <w:rPr>
          <w:b/>
          <w:color w:val="FF0000"/>
          <w:sz w:val="21"/>
          <w:szCs w:val="21"/>
        </w:rPr>
        <w:t xml:space="preserve"> prior to completing Cat 3 templates. </w:t>
      </w:r>
    </w:p>
    <w:p w:rsidR="00501912" w:rsidRPr="00F07029" w:rsidRDefault="00501912" w:rsidP="000A0668">
      <w:pPr>
        <w:pStyle w:val="ListParagraph"/>
        <w:numPr>
          <w:ilvl w:val="0"/>
          <w:numId w:val="3"/>
        </w:numPr>
        <w:jc w:val="both"/>
        <w:rPr>
          <w:b/>
          <w:sz w:val="21"/>
          <w:szCs w:val="21"/>
        </w:rPr>
      </w:pPr>
      <w:r w:rsidRPr="00F07029">
        <w:rPr>
          <w:b/>
          <w:sz w:val="21"/>
          <w:szCs w:val="21"/>
        </w:rPr>
        <w:t>Do you have a Population Focused Priority Measure (PFP)</w:t>
      </w:r>
      <w:r w:rsidR="00F07029">
        <w:rPr>
          <w:sz w:val="21"/>
          <w:szCs w:val="21"/>
        </w:rPr>
        <w:t>?</w:t>
      </w:r>
    </w:p>
    <w:p w:rsidR="000A0668" w:rsidRPr="007C6FED" w:rsidRDefault="00A815E2" w:rsidP="007C6FED">
      <w:pPr>
        <w:pStyle w:val="ListParagraph"/>
        <w:numPr>
          <w:ilvl w:val="1"/>
          <w:numId w:val="3"/>
        </w:numPr>
        <w:jc w:val="both"/>
        <w:rPr>
          <w:sz w:val="21"/>
          <w:szCs w:val="21"/>
        </w:rPr>
      </w:pPr>
      <w:r>
        <w:rPr>
          <w:sz w:val="21"/>
          <w:szCs w:val="21"/>
        </w:rPr>
        <w:t>Applies to p</w:t>
      </w:r>
      <w:r w:rsidR="000A0668" w:rsidRPr="00F07029">
        <w:rPr>
          <w:sz w:val="21"/>
          <w:szCs w:val="21"/>
        </w:rPr>
        <w:t>roviders who selected a P4R Cat 3 outcome</w:t>
      </w:r>
      <w:r w:rsidR="007C6FED">
        <w:rPr>
          <w:sz w:val="21"/>
          <w:szCs w:val="21"/>
        </w:rPr>
        <w:t xml:space="preserve"> (</w:t>
      </w:r>
      <w:r>
        <w:rPr>
          <w:sz w:val="21"/>
          <w:szCs w:val="21"/>
        </w:rPr>
        <w:t>p</w:t>
      </w:r>
      <w:r w:rsidR="007C6FED" w:rsidRPr="00F07029">
        <w:rPr>
          <w:sz w:val="21"/>
          <w:szCs w:val="21"/>
        </w:rPr>
        <w:t>roviders should know if they have a PFP activity as they would have selected one during baseline selection</w:t>
      </w:r>
      <w:r w:rsidR="007C6FED">
        <w:rPr>
          <w:sz w:val="21"/>
          <w:szCs w:val="21"/>
        </w:rPr>
        <w:t xml:space="preserve"> in March 2014)</w:t>
      </w:r>
      <w:r w:rsidR="007C6FED" w:rsidRPr="00F07029">
        <w:rPr>
          <w:sz w:val="21"/>
          <w:szCs w:val="21"/>
        </w:rPr>
        <w:t xml:space="preserve">. </w:t>
      </w:r>
    </w:p>
    <w:p w:rsidR="00501912" w:rsidRPr="00F07029" w:rsidRDefault="00501912" w:rsidP="000A0668">
      <w:pPr>
        <w:pStyle w:val="ListParagraph"/>
        <w:numPr>
          <w:ilvl w:val="1"/>
          <w:numId w:val="3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 xml:space="preserve">Providers </w:t>
      </w:r>
      <w:r w:rsidR="00ED59C3" w:rsidRPr="00F07029">
        <w:rPr>
          <w:sz w:val="21"/>
          <w:szCs w:val="21"/>
        </w:rPr>
        <w:t>must</w:t>
      </w:r>
      <w:r w:rsidRPr="00F07029">
        <w:rPr>
          <w:sz w:val="21"/>
          <w:szCs w:val="21"/>
        </w:rPr>
        <w:t xml:space="preserve"> submit the </w:t>
      </w:r>
      <w:r w:rsidR="000A0668">
        <w:rPr>
          <w:sz w:val="21"/>
          <w:szCs w:val="21"/>
        </w:rPr>
        <w:t xml:space="preserve">PFP </w:t>
      </w:r>
      <w:r w:rsidRPr="00F07029">
        <w:rPr>
          <w:sz w:val="21"/>
          <w:szCs w:val="21"/>
        </w:rPr>
        <w:t xml:space="preserve">template at least one reporting period prior to submitting PFP achievement in DY5. </w:t>
      </w:r>
    </w:p>
    <w:p w:rsidR="00501912" w:rsidRPr="00F07029" w:rsidRDefault="00501912" w:rsidP="000A0668">
      <w:pPr>
        <w:pStyle w:val="ListParagraph"/>
        <w:numPr>
          <w:ilvl w:val="1"/>
          <w:numId w:val="3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>Tips to completing PFP template:</w:t>
      </w:r>
    </w:p>
    <w:p w:rsidR="00501912" w:rsidRPr="00F07029" w:rsidRDefault="00501912" w:rsidP="000A0668">
      <w:pPr>
        <w:pStyle w:val="ListParagraph"/>
        <w:numPr>
          <w:ilvl w:val="2"/>
          <w:numId w:val="3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>Save the PDF to your comp</w:t>
      </w:r>
      <w:r w:rsidR="00F07029" w:rsidRPr="00F07029">
        <w:rPr>
          <w:sz w:val="21"/>
          <w:szCs w:val="21"/>
        </w:rPr>
        <w:t xml:space="preserve">uter </w:t>
      </w:r>
      <w:r w:rsidR="00F07029" w:rsidRPr="007C6FED">
        <w:rPr>
          <w:sz w:val="21"/>
          <w:szCs w:val="21"/>
        </w:rPr>
        <w:t>before</w:t>
      </w:r>
      <w:r w:rsidR="00F07029" w:rsidRPr="00F07029">
        <w:rPr>
          <w:sz w:val="21"/>
          <w:szCs w:val="21"/>
        </w:rPr>
        <w:t xml:space="preserve"> completing the form.</w:t>
      </w:r>
    </w:p>
    <w:p w:rsidR="00501912" w:rsidRPr="00F07029" w:rsidRDefault="00501912" w:rsidP="000A0668">
      <w:pPr>
        <w:pStyle w:val="ListParagraph"/>
        <w:numPr>
          <w:ilvl w:val="2"/>
          <w:numId w:val="3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 xml:space="preserve">All cells must be filled </w:t>
      </w:r>
      <w:r w:rsidR="000A0668">
        <w:rPr>
          <w:sz w:val="21"/>
          <w:szCs w:val="21"/>
        </w:rPr>
        <w:t>in</w:t>
      </w:r>
      <w:r w:rsidR="007C6FED">
        <w:rPr>
          <w:sz w:val="21"/>
          <w:szCs w:val="21"/>
        </w:rPr>
        <w:t xml:space="preserve"> -</w:t>
      </w:r>
      <w:r w:rsidRPr="00F07029">
        <w:rPr>
          <w:sz w:val="21"/>
          <w:szCs w:val="21"/>
        </w:rPr>
        <w:t xml:space="preserve"> if a cell does not apply enter “N/A”</w:t>
      </w:r>
      <w:r w:rsidR="00F07029" w:rsidRPr="00F07029">
        <w:rPr>
          <w:sz w:val="21"/>
          <w:szCs w:val="21"/>
        </w:rPr>
        <w:t>.</w:t>
      </w:r>
    </w:p>
    <w:p w:rsidR="00501912" w:rsidRDefault="00501912" w:rsidP="000A0668">
      <w:pPr>
        <w:pStyle w:val="ListParagraph"/>
        <w:numPr>
          <w:ilvl w:val="2"/>
          <w:numId w:val="3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>Select the PFP measure from the drop down menu on row 5</w:t>
      </w:r>
      <w:r w:rsidR="00F07029" w:rsidRPr="00F07029">
        <w:rPr>
          <w:sz w:val="21"/>
          <w:szCs w:val="21"/>
        </w:rPr>
        <w:t>.</w:t>
      </w:r>
    </w:p>
    <w:p w:rsidR="007C6FED" w:rsidRPr="00F07029" w:rsidRDefault="007C6FED" w:rsidP="000A0668">
      <w:pPr>
        <w:pStyle w:val="ListParagraph"/>
        <w:numPr>
          <w:ilvl w:val="2"/>
          <w:numId w:val="3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Enter the ‘Rate’ as the current template does not automatically calculate this figure. </w:t>
      </w:r>
    </w:p>
    <w:p w:rsidR="00501912" w:rsidRPr="00F07029" w:rsidRDefault="00501912" w:rsidP="000A0668">
      <w:pPr>
        <w:pStyle w:val="ListParagraph"/>
        <w:numPr>
          <w:ilvl w:val="2"/>
          <w:numId w:val="3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>Select baseline measurement period in row 8, either: DY3 (10/1/13-9/30/14) or DY4 (10/1/14-9/30/15)</w:t>
      </w:r>
      <w:r w:rsidR="00F07029" w:rsidRPr="00F07029">
        <w:rPr>
          <w:sz w:val="21"/>
          <w:szCs w:val="21"/>
        </w:rPr>
        <w:t>.</w:t>
      </w:r>
    </w:p>
    <w:p w:rsidR="00501912" w:rsidRPr="00F07029" w:rsidRDefault="00501912" w:rsidP="000A0668">
      <w:pPr>
        <w:pStyle w:val="ListParagraph"/>
        <w:numPr>
          <w:ilvl w:val="2"/>
          <w:numId w:val="3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>If you request TA from HHSC, or have comments/concerns, enter those in the last row, “Miscellaneous”</w:t>
      </w:r>
      <w:r w:rsidR="00F07029" w:rsidRPr="00F07029">
        <w:rPr>
          <w:sz w:val="21"/>
          <w:szCs w:val="21"/>
        </w:rPr>
        <w:t>.</w:t>
      </w:r>
    </w:p>
    <w:p w:rsidR="005E725D" w:rsidRDefault="00501912" w:rsidP="000A0668">
      <w:pPr>
        <w:pStyle w:val="ListParagraph"/>
        <w:numPr>
          <w:ilvl w:val="2"/>
          <w:numId w:val="3"/>
        </w:numPr>
        <w:jc w:val="both"/>
        <w:rPr>
          <w:sz w:val="21"/>
          <w:szCs w:val="21"/>
        </w:rPr>
      </w:pPr>
      <w:r w:rsidRPr="00F07029">
        <w:rPr>
          <w:sz w:val="21"/>
          <w:szCs w:val="21"/>
        </w:rPr>
        <w:t>If you complete this template, upload it as part of the supporting documentation for that associated Cat 3 project</w:t>
      </w:r>
      <w:r w:rsidR="00F07029" w:rsidRPr="00F07029">
        <w:rPr>
          <w:sz w:val="21"/>
          <w:szCs w:val="21"/>
        </w:rPr>
        <w:t>.</w:t>
      </w:r>
    </w:p>
    <w:p w:rsidR="00E847C0" w:rsidRPr="00E847C0" w:rsidRDefault="00E847C0" w:rsidP="00E847C0">
      <w:pPr>
        <w:pStyle w:val="ListParagraph"/>
        <w:numPr>
          <w:ilvl w:val="0"/>
          <w:numId w:val="3"/>
        </w:numPr>
        <w:rPr>
          <w:bCs/>
          <w:sz w:val="21"/>
          <w:szCs w:val="21"/>
        </w:rPr>
      </w:pPr>
      <w:r w:rsidRPr="00E847C0">
        <w:rPr>
          <w:b/>
          <w:bCs/>
          <w:sz w:val="21"/>
          <w:szCs w:val="21"/>
        </w:rPr>
        <w:t xml:space="preserve">Do you have the information you need to complete </w:t>
      </w:r>
      <w:r>
        <w:rPr>
          <w:b/>
          <w:bCs/>
          <w:sz w:val="21"/>
          <w:szCs w:val="21"/>
        </w:rPr>
        <w:t>the Cat 3 template(s) you plan to submit this reporting period</w:t>
      </w:r>
      <w:r w:rsidRPr="00E847C0">
        <w:rPr>
          <w:b/>
          <w:bCs/>
          <w:sz w:val="21"/>
          <w:szCs w:val="21"/>
        </w:rPr>
        <w:t xml:space="preserve"> or do you need to run reports to pull data?</w:t>
      </w:r>
      <w:r w:rsidRPr="00E847C0">
        <w:rPr>
          <w:bCs/>
          <w:sz w:val="21"/>
          <w:szCs w:val="21"/>
        </w:rPr>
        <w:t xml:space="preserve"> </w:t>
      </w:r>
    </w:p>
    <w:p w:rsidR="00593331" w:rsidRPr="00E847C0" w:rsidRDefault="00593331" w:rsidP="00593331">
      <w:pPr>
        <w:pStyle w:val="ListParagraph"/>
        <w:numPr>
          <w:ilvl w:val="1"/>
          <w:numId w:val="3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If you need time to run reports, consider </w:t>
      </w:r>
      <w:r w:rsidR="007C6FED">
        <w:rPr>
          <w:bCs/>
          <w:sz w:val="21"/>
          <w:szCs w:val="21"/>
        </w:rPr>
        <w:t>visiting</w:t>
      </w:r>
      <w:r>
        <w:rPr>
          <w:bCs/>
          <w:sz w:val="21"/>
          <w:szCs w:val="21"/>
        </w:rPr>
        <w:t xml:space="preserve"> with those affected (DSRIP team members, IT, etc.) to ensure you have the information you need well before reports are due.</w:t>
      </w:r>
    </w:p>
    <w:p w:rsidR="0027337E" w:rsidRPr="00A815E2" w:rsidRDefault="00DF6F3A" w:rsidP="0027337E">
      <w:pPr>
        <w:rPr>
          <w:b/>
          <w:sz w:val="24"/>
          <w:highlight w:val="yellow"/>
          <w:u w:val="single"/>
        </w:rPr>
      </w:pPr>
      <w:r w:rsidRPr="00A815E2">
        <w:rPr>
          <w:b/>
          <w:sz w:val="24"/>
          <w:highlight w:val="yellow"/>
          <w:u w:val="single"/>
        </w:rPr>
        <w:t xml:space="preserve">Step </w:t>
      </w:r>
      <w:r w:rsidR="00A815E2" w:rsidRPr="00A815E2">
        <w:rPr>
          <w:b/>
          <w:sz w:val="24"/>
          <w:highlight w:val="yellow"/>
          <w:u w:val="single"/>
        </w:rPr>
        <w:t>4: Review Category 4 (Hospital p</w:t>
      </w:r>
      <w:r w:rsidRPr="00A815E2">
        <w:rPr>
          <w:b/>
          <w:sz w:val="24"/>
          <w:highlight w:val="yellow"/>
          <w:u w:val="single"/>
        </w:rPr>
        <w:t>roviders ONLY)</w:t>
      </w:r>
    </w:p>
    <w:p w:rsidR="00F07029" w:rsidRPr="007C6FED" w:rsidRDefault="0027337E" w:rsidP="00593331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bCs/>
          <w:sz w:val="21"/>
          <w:szCs w:val="21"/>
        </w:rPr>
      </w:pPr>
      <w:r w:rsidRPr="007C6FED">
        <w:rPr>
          <w:bCs/>
          <w:sz w:val="21"/>
          <w:szCs w:val="21"/>
        </w:rPr>
        <w:t>Partial</w:t>
      </w:r>
      <w:r w:rsidR="00F07029" w:rsidRPr="007C6FED">
        <w:rPr>
          <w:bCs/>
          <w:sz w:val="21"/>
          <w:szCs w:val="21"/>
        </w:rPr>
        <w:t xml:space="preserve"> payments do not apply to Cat 4.</w:t>
      </w:r>
    </w:p>
    <w:p w:rsidR="0027337E" w:rsidRPr="007C6FED" w:rsidRDefault="00A815E2" w:rsidP="00593331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There is no carry</w:t>
      </w:r>
      <w:r w:rsidR="0027337E" w:rsidRPr="007C6FED">
        <w:rPr>
          <w:bCs/>
          <w:sz w:val="21"/>
          <w:szCs w:val="21"/>
        </w:rPr>
        <w:t>forward for Cat 4.</w:t>
      </w:r>
    </w:p>
    <w:p w:rsidR="0027337E" w:rsidRPr="00F07029" w:rsidRDefault="0027337E" w:rsidP="00593331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bCs/>
          <w:sz w:val="21"/>
          <w:szCs w:val="21"/>
        </w:rPr>
      </w:pPr>
      <w:r w:rsidRPr="00F07029">
        <w:rPr>
          <w:bCs/>
          <w:sz w:val="21"/>
          <w:szCs w:val="21"/>
        </w:rPr>
        <w:t>The Cat 4 reporting te</w:t>
      </w:r>
      <w:r w:rsidR="007C6FED">
        <w:rPr>
          <w:bCs/>
          <w:sz w:val="21"/>
          <w:szCs w:val="21"/>
        </w:rPr>
        <w:t xml:space="preserve">mplate has been updated for DY4 - </w:t>
      </w:r>
      <w:r w:rsidR="00A815E2">
        <w:rPr>
          <w:bCs/>
          <w:sz w:val="21"/>
          <w:szCs w:val="21"/>
        </w:rPr>
        <w:t>p</w:t>
      </w:r>
      <w:r w:rsidRPr="00F07029">
        <w:rPr>
          <w:bCs/>
          <w:sz w:val="21"/>
          <w:szCs w:val="21"/>
        </w:rPr>
        <w:t>roviders should not use the DY3 reporting template.</w:t>
      </w:r>
    </w:p>
    <w:p w:rsidR="00F07029" w:rsidRDefault="0027337E" w:rsidP="00593331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bCs/>
          <w:sz w:val="21"/>
          <w:szCs w:val="21"/>
        </w:rPr>
      </w:pPr>
      <w:r w:rsidRPr="00F07029">
        <w:rPr>
          <w:b/>
          <w:bCs/>
          <w:sz w:val="21"/>
          <w:szCs w:val="21"/>
        </w:rPr>
        <w:t>RDs 1, 2, and 3:</w:t>
      </w:r>
      <w:r w:rsidRPr="00F07029">
        <w:rPr>
          <w:bCs/>
          <w:sz w:val="21"/>
          <w:szCs w:val="21"/>
        </w:rPr>
        <w:t xml:space="preserve"> The Institute </w:t>
      </w:r>
      <w:r w:rsidR="007C6FED">
        <w:rPr>
          <w:bCs/>
          <w:sz w:val="21"/>
          <w:szCs w:val="21"/>
        </w:rPr>
        <w:t>for Child Health Policy (ICHP) prepared reports based on CY</w:t>
      </w:r>
      <w:r w:rsidRPr="00F07029">
        <w:rPr>
          <w:bCs/>
          <w:sz w:val="21"/>
          <w:szCs w:val="21"/>
        </w:rPr>
        <w:t>2013 Medicaid and CHIP data for hospitals for RD‐1 (Potentially Preventable Admissions), RD‐2</w:t>
      </w:r>
      <w:r w:rsidR="007C6FED">
        <w:rPr>
          <w:bCs/>
          <w:sz w:val="21"/>
          <w:szCs w:val="21"/>
        </w:rPr>
        <w:t xml:space="preserve"> </w:t>
      </w:r>
      <w:r w:rsidRPr="00F07029">
        <w:rPr>
          <w:bCs/>
          <w:sz w:val="21"/>
          <w:szCs w:val="21"/>
        </w:rPr>
        <w:t xml:space="preserve">(30‐day Readmissions), and RD‐3 (Potentially Preventable Complications). </w:t>
      </w:r>
    </w:p>
    <w:p w:rsidR="00F07029" w:rsidRDefault="0027337E" w:rsidP="00593331">
      <w:pPr>
        <w:pStyle w:val="ListParagraph"/>
        <w:numPr>
          <w:ilvl w:val="1"/>
          <w:numId w:val="8"/>
        </w:numPr>
        <w:spacing w:after="0" w:line="240" w:lineRule="auto"/>
        <w:contextualSpacing w:val="0"/>
        <w:jc w:val="both"/>
        <w:rPr>
          <w:bCs/>
          <w:sz w:val="21"/>
          <w:szCs w:val="21"/>
        </w:rPr>
      </w:pPr>
      <w:r w:rsidRPr="00F07029">
        <w:rPr>
          <w:bCs/>
          <w:sz w:val="21"/>
          <w:szCs w:val="21"/>
        </w:rPr>
        <w:t>HHSC provided individual reports on RD</w:t>
      </w:r>
      <w:r w:rsidR="007C6FED">
        <w:rPr>
          <w:bCs/>
          <w:sz w:val="21"/>
          <w:szCs w:val="21"/>
        </w:rPr>
        <w:t xml:space="preserve">s </w:t>
      </w:r>
      <w:r w:rsidRPr="00F07029">
        <w:rPr>
          <w:bCs/>
          <w:sz w:val="21"/>
          <w:szCs w:val="21"/>
        </w:rPr>
        <w:t>1</w:t>
      </w:r>
      <w:r w:rsidR="007C6FED">
        <w:rPr>
          <w:bCs/>
          <w:sz w:val="21"/>
          <w:szCs w:val="21"/>
        </w:rPr>
        <w:t>-3</w:t>
      </w:r>
      <w:r w:rsidRPr="00F07029">
        <w:rPr>
          <w:bCs/>
          <w:sz w:val="21"/>
          <w:szCs w:val="21"/>
        </w:rPr>
        <w:t xml:space="preserve"> to hospitals by email </w:t>
      </w:r>
      <w:r w:rsidR="007C6FED">
        <w:rPr>
          <w:bCs/>
          <w:sz w:val="21"/>
          <w:szCs w:val="21"/>
        </w:rPr>
        <w:t>on 4/3/2015</w:t>
      </w:r>
      <w:r w:rsidRPr="00F07029">
        <w:rPr>
          <w:bCs/>
          <w:sz w:val="21"/>
          <w:szCs w:val="21"/>
        </w:rPr>
        <w:t>. This data is not being re‐sent for October</w:t>
      </w:r>
      <w:r w:rsidR="007C6FED">
        <w:rPr>
          <w:bCs/>
          <w:sz w:val="21"/>
          <w:szCs w:val="21"/>
        </w:rPr>
        <w:t>.</w:t>
      </w:r>
      <w:r w:rsidRPr="00F07029">
        <w:rPr>
          <w:bCs/>
          <w:sz w:val="21"/>
          <w:szCs w:val="21"/>
        </w:rPr>
        <w:t xml:space="preserve"> </w:t>
      </w:r>
    </w:p>
    <w:p w:rsidR="0027337E" w:rsidRPr="00F07029" w:rsidRDefault="00A815E2" w:rsidP="00593331">
      <w:pPr>
        <w:pStyle w:val="ListParagraph"/>
        <w:numPr>
          <w:ilvl w:val="1"/>
          <w:numId w:val="8"/>
        </w:numPr>
        <w:spacing w:after="0" w:line="240" w:lineRule="auto"/>
        <w:contextualSpacing w:val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In DY4, p</w:t>
      </w:r>
      <w:r w:rsidR="0027337E" w:rsidRPr="00F07029">
        <w:rPr>
          <w:bCs/>
          <w:sz w:val="21"/>
          <w:szCs w:val="21"/>
        </w:rPr>
        <w:t>roviders are required to submit responses to q</w:t>
      </w:r>
      <w:r>
        <w:rPr>
          <w:bCs/>
          <w:sz w:val="21"/>
          <w:szCs w:val="21"/>
        </w:rPr>
        <w:t>ualitative questions regarding p</w:t>
      </w:r>
      <w:r w:rsidR="0027337E" w:rsidRPr="00F07029">
        <w:rPr>
          <w:bCs/>
          <w:sz w:val="21"/>
          <w:szCs w:val="21"/>
        </w:rPr>
        <w:t>rovider-specific RDs 1‐3.</w:t>
      </w:r>
    </w:p>
    <w:p w:rsidR="0027337E" w:rsidRPr="00F07029" w:rsidRDefault="007C6FED" w:rsidP="00593331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RDs 4 and 5</w:t>
      </w:r>
      <w:r w:rsidR="0027337E" w:rsidRPr="00F07029">
        <w:rPr>
          <w:b/>
          <w:bCs/>
          <w:sz w:val="21"/>
          <w:szCs w:val="21"/>
        </w:rPr>
        <w:t>:</w:t>
      </w:r>
      <w:r w:rsidR="0027337E" w:rsidRPr="00F07029">
        <w:rPr>
          <w:bCs/>
          <w:sz w:val="21"/>
          <w:szCs w:val="21"/>
        </w:rPr>
        <w:t xml:space="preserve"> Hospitals will report RD‐4 (Patient Centered Healthcare)</w:t>
      </w:r>
      <w:r>
        <w:rPr>
          <w:bCs/>
          <w:sz w:val="21"/>
          <w:szCs w:val="21"/>
        </w:rPr>
        <w:t xml:space="preserve"> and</w:t>
      </w:r>
      <w:r w:rsidR="0027337E" w:rsidRPr="00F07029">
        <w:rPr>
          <w:bCs/>
          <w:sz w:val="21"/>
          <w:szCs w:val="21"/>
        </w:rPr>
        <w:t xml:space="preserve"> RD-5 (Emergency Departmen</w:t>
      </w:r>
      <w:r>
        <w:rPr>
          <w:bCs/>
          <w:sz w:val="21"/>
          <w:szCs w:val="21"/>
        </w:rPr>
        <w:t>t Measures)</w:t>
      </w:r>
      <w:r w:rsidR="0027337E" w:rsidRPr="00F07029">
        <w:rPr>
          <w:bCs/>
          <w:sz w:val="21"/>
          <w:szCs w:val="21"/>
        </w:rPr>
        <w:t xml:space="preserve"> based on all‐payer da</w:t>
      </w:r>
      <w:r w:rsidR="00A815E2">
        <w:rPr>
          <w:bCs/>
          <w:sz w:val="21"/>
          <w:szCs w:val="21"/>
        </w:rPr>
        <w:t>ta submitted by the individual p</w:t>
      </w:r>
      <w:r w:rsidR="0027337E" w:rsidRPr="00F07029">
        <w:rPr>
          <w:bCs/>
          <w:sz w:val="21"/>
          <w:szCs w:val="21"/>
        </w:rPr>
        <w:t>rovider.</w:t>
      </w:r>
    </w:p>
    <w:p w:rsidR="0027337E" w:rsidRPr="00F07029" w:rsidRDefault="0027337E" w:rsidP="00593331">
      <w:pPr>
        <w:pStyle w:val="ListParagraph"/>
        <w:numPr>
          <w:ilvl w:val="1"/>
          <w:numId w:val="8"/>
        </w:numPr>
        <w:spacing w:after="0" w:line="240" w:lineRule="auto"/>
        <w:contextualSpacing w:val="0"/>
        <w:jc w:val="both"/>
        <w:rPr>
          <w:bCs/>
          <w:sz w:val="21"/>
          <w:szCs w:val="21"/>
        </w:rPr>
      </w:pPr>
      <w:r w:rsidRPr="00F07029">
        <w:rPr>
          <w:bCs/>
          <w:sz w:val="21"/>
          <w:szCs w:val="21"/>
        </w:rPr>
        <w:t>Providers will hav</w:t>
      </w:r>
      <w:r w:rsidR="007C6FED">
        <w:rPr>
          <w:bCs/>
          <w:sz w:val="21"/>
          <w:szCs w:val="21"/>
        </w:rPr>
        <w:t>e the option of reporting RDs 4 and 5 for Medicaid-</w:t>
      </w:r>
      <w:r w:rsidRPr="00F07029">
        <w:rPr>
          <w:bCs/>
          <w:sz w:val="21"/>
          <w:szCs w:val="21"/>
        </w:rPr>
        <w:t xml:space="preserve">only data if available. </w:t>
      </w:r>
    </w:p>
    <w:p w:rsidR="0027337E" w:rsidRPr="00593331" w:rsidRDefault="0027337E" w:rsidP="00593331">
      <w:pPr>
        <w:pStyle w:val="ListParagraph"/>
        <w:numPr>
          <w:ilvl w:val="1"/>
          <w:numId w:val="8"/>
        </w:numPr>
        <w:spacing w:after="0" w:line="240" w:lineRule="auto"/>
        <w:contextualSpacing w:val="0"/>
        <w:jc w:val="both"/>
        <w:rPr>
          <w:bCs/>
          <w:sz w:val="21"/>
          <w:szCs w:val="21"/>
        </w:rPr>
      </w:pPr>
      <w:r w:rsidRPr="00F07029">
        <w:rPr>
          <w:bCs/>
          <w:sz w:val="21"/>
          <w:szCs w:val="21"/>
        </w:rPr>
        <w:t>The DY4 measur</w:t>
      </w:r>
      <w:r w:rsidR="007C6FED">
        <w:rPr>
          <w:bCs/>
          <w:sz w:val="21"/>
          <w:szCs w:val="21"/>
        </w:rPr>
        <w:t xml:space="preserve">ement period for RDs 4 and 5 </w:t>
      </w:r>
      <w:r w:rsidRPr="00F07029">
        <w:rPr>
          <w:bCs/>
          <w:sz w:val="21"/>
          <w:szCs w:val="21"/>
        </w:rPr>
        <w:t xml:space="preserve">is </w:t>
      </w:r>
      <w:r w:rsidR="00593331" w:rsidRPr="00F07029">
        <w:rPr>
          <w:bCs/>
          <w:sz w:val="21"/>
          <w:szCs w:val="21"/>
        </w:rPr>
        <w:t>the 12 months immediately following the end of the measurement period reported in DY3</w:t>
      </w:r>
      <w:r w:rsidRPr="00F07029">
        <w:rPr>
          <w:bCs/>
          <w:sz w:val="21"/>
          <w:szCs w:val="21"/>
        </w:rPr>
        <w:t xml:space="preserve">. </w:t>
      </w:r>
      <w:r w:rsidRPr="00593331">
        <w:rPr>
          <w:bCs/>
          <w:sz w:val="21"/>
          <w:szCs w:val="21"/>
        </w:rPr>
        <w:t>HHSC will not accept measurement periods of less than 12 months.</w:t>
      </w:r>
    </w:p>
    <w:p w:rsidR="0027337E" w:rsidRPr="00F07029" w:rsidRDefault="0027337E" w:rsidP="00593331">
      <w:pPr>
        <w:pStyle w:val="ListParagraph"/>
        <w:numPr>
          <w:ilvl w:val="1"/>
          <w:numId w:val="8"/>
        </w:numPr>
        <w:spacing w:after="0" w:line="240" w:lineRule="auto"/>
        <w:contextualSpacing w:val="0"/>
        <w:jc w:val="both"/>
        <w:rPr>
          <w:bCs/>
          <w:sz w:val="21"/>
          <w:szCs w:val="21"/>
        </w:rPr>
      </w:pPr>
      <w:r w:rsidRPr="00F07029">
        <w:rPr>
          <w:bCs/>
          <w:sz w:val="21"/>
          <w:szCs w:val="21"/>
        </w:rPr>
        <w:t>Responses to qualitative questions must be included for RDs 4 and 5.</w:t>
      </w:r>
    </w:p>
    <w:p w:rsidR="0027337E" w:rsidRDefault="00F07029" w:rsidP="00593331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P</w:t>
      </w:r>
      <w:r w:rsidR="0027337E" w:rsidRPr="00F07029">
        <w:rPr>
          <w:bCs/>
          <w:sz w:val="21"/>
          <w:szCs w:val="21"/>
        </w:rPr>
        <w:t xml:space="preserve">roviders are not required to submit additional documentation beyond the Cat </w:t>
      </w:r>
      <w:r w:rsidR="00A815E2">
        <w:rPr>
          <w:bCs/>
          <w:sz w:val="21"/>
          <w:szCs w:val="21"/>
        </w:rPr>
        <w:t>4 Reporting Template. However, p</w:t>
      </w:r>
      <w:r w:rsidR="0027337E" w:rsidRPr="00F07029">
        <w:rPr>
          <w:bCs/>
          <w:sz w:val="21"/>
          <w:szCs w:val="21"/>
        </w:rPr>
        <w:t>roviders are subject to additional monitoring at any time and should maintain internal documentation for their Cat 4 data.</w:t>
      </w:r>
    </w:p>
    <w:p w:rsidR="00E847C0" w:rsidRPr="00E847C0" w:rsidRDefault="00E847C0" w:rsidP="00593331">
      <w:pPr>
        <w:pStyle w:val="ListParagraph"/>
        <w:numPr>
          <w:ilvl w:val="0"/>
          <w:numId w:val="8"/>
        </w:numPr>
        <w:jc w:val="both"/>
        <w:rPr>
          <w:bCs/>
          <w:sz w:val="21"/>
          <w:szCs w:val="21"/>
        </w:rPr>
      </w:pPr>
      <w:r w:rsidRPr="00E847C0">
        <w:rPr>
          <w:b/>
          <w:bCs/>
          <w:sz w:val="21"/>
          <w:szCs w:val="21"/>
        </w:rPr>
        <w:t xml:space="preserve">Do you have the information you need to complete </w:t>
      </w:r>
      <w:r>
        <w:rPr>
          <w:b/>
          <w:bCs/>
          <w:sz w:val="21"/>
          <w:szCs w:val="21"/>
        </w:rPr>
        <w:t>the Cat 4 reporting template</w:t>
      </w:r>
      <w:r w:rsidR="007C6FED">
        <w:rPr>
          <w:b/>
          <w:bCs/>
          <w:sz w:val="21"/>
          <w:szCs w:val="21"/>
        </w:rPr>
        <w:t xml:space="preserve"> </w:t>
      </w:r>
      <w:r w:rsidRPr="00E847C0">
        <w:rPr>
          <w:b/>
          <w:bCs/>
          <w:sz w:val="21"/>
          <w:szCs w:val="21"/>
        </w:rPr>
        <w:t>or do you need to run reports to pull data?</w:t>
      </w:r>
      <w:r w:rsidRPr="00E847C0">
        <w:rPr>
          <w:bCs/>
          <w:sz w:val="21"/>
          <w:szCs w:val="21"/>
        </w:rPr>
        <w:t xml:space="preserve"> </w:t>
      </w:r>
    </w:p>
    <w:p w:rsidR="00593331" w:rsidRPr="00E847C0" w:rsidRDefault="00593331" w:rsidP="00593331">
      <w:pPr>
        <w:pStyle w:val="ListParagraph"/>
        <w:numPr>
          <w:ilvl w:val="1"/>
          <w:numId w:val="8"/>
        </w:num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If you need time to run reports, consider </w:t>
      </w:r>
      <w:r w:rsidR="007C6FED">
        <w:rPr>
          <w:bCs/>
          <w:sz w:val="21"/>
          <w:szCs w:val="21"/>
        </w:rPr>
        <w:t>visiting</w:t>
      </w:r>
      <w:r>
        <w:rPr>
          <w:bCs/>
          <w:sz w:val="21"/>
          <w:szCs w:val="21"/>
        </w:rPr>
        <w:t xml:space="preserve"> with those affected (DSRIP team members, IT, etc.) to ensure you have the information you need well before reports are due.</w:t>
      </w:r>
    </w:p>
    <w:p w:rsidR="00593331" w:rsidRPr="00A815E2" w:rsidRDefault="00E847C0" w:rsidP="00593331">
      <w:pPr>
        <w:rPr>
          <w:b/>
          <w:bCs/>
          <w:sz w:val="24"/>
          <w:szCs w:val="21"/>
          <w:highlight w:val="yellow"/>
          <w:u w:val="single"/>
        </w:rPr>
      </w:pPr>
      <w:r w:rsidRPr="00A815E2">
        <w:rPr>
          <w:b/>
          <w:bCs/>
          <w:sz w:val="24"/>
          <w:szCs w:val="21"/>
          <w:highlight w:val="yellow"/>
          <w:u w:val="single"/>
        </w:rPr>
        <w:t xml:space="preserve">Step 5: </w:t>
      </w:r>
      <w:r w:rsidR="00593331" w:rsidRPr="00A815E2">
        <w:rPr>
          <w:b/>
          <w:bCs/>
          <w:sz w:val="24"/>
          <w:szCs w:val="21"/>
          <w:highlight w:val="yellow"/>
          <w:u w:val="single"/>
        </w:rPr>
        <w:t xml:space="preserve">Complete </w:t>
      </w:r>
      <w:r w:rsidRPr="00A815E2">
        <w:rPr>
          <w:b/>
          <w:bCs/>
          <w:sz w:val="24"/>
          <w:szCs w:val="21"/>
          <w:highlight w:val="yellow"/>
          <w:u w:val="single"/>
        </w:rPr>
        <w:t>Semi-An</w:t>
      </w:r>
      <w:r w:rsidR="00593331" w:rsidRPr="00A815E2">
        <w:rPr>
          <w:b/>
          <w:bCs/>
          <w:sz w:val="24"/>
          <w:szCs w:val="21"/>
          <w:highlight w:val="yellow"/>
          <w:u w:val="single"/>
        </w:rPr>
        <w:t xml:space="preserve">nual Reporting </w:t>
      </w:r>
      <w:r w:rsidR="007C6FED" w:rsidRPr="00A815E2">
        <w:rPr>
          <w:b/>
          <w:bCs/>
          <w:sz w:val="24"/>
          <w:szCs w:val="21"/>
          <w:highlight w:val="yellow"/>
          <w:u w:val="single"/>
        </w:rPr>
        <w:t xml:space="preserve">(SAR) </w:t>
      </w:r>
      <w:r w:rsidR="00593331" w:rsidRPr="00A815E2">
        <w:rPr>
          <w:b/>
          <w:bCs/>
          <w:sz w:val="24"/>
          <w:szCs w:val="21"/>
          <w:highlight w:val="yellow"/>
          <w:u w:val="single"/>
        </w:rPr>
        <w:t>Requirements</w:t>
      </w:r>
    </w:p>
    <w:p w:rsidR="00593331" w:rsidRPr="00593331" w:rsidRDefault="00593331" w:rsidP="00593331">
      <w:pPr>
        <w:pStyle w:val="ListParagraph"/>
        <w:numPr>
          <w:ilvl w:val="0"/>
          <w:numId w:val="11"/>
        </w:numPr>
        <w:ind w:left="360"/>
        <w:jc w:val="both"/>
        <w:rPr>
          <w:bCs/>
          <w:sz w:val="21"/>
          <w:szCs w:val="21"/>
        </w:rPr>
      </w:pPr>
      <w:r w:rsidRPr="00593331">
        <w:rPr>
          <w:bCs/>
          <w:sz w:val="21"/>
          <w:szCs w:val="21"/>
        </w:rPr>
        <w:t>All Providers are required to submit SAR informa</w:t>
      </w:r>
      <w:r w:rsidR="00A815E2">
        <w:rPr>
          <w:bCs/>
          <w:sz w:val="21"/>
          <w:szCs w:val="21"/>
        </w:rPr>
        <w:t>tion regardless of whether the p</w:t>
      </w:r>
      <w:r w:rsidRPr="00593331">
        <w:rPr>
          <w:bCs/>
          <w:sz w:val="21"/>
          <w:szCs w:val="21"/>
        </w:rPr>
        <w:t>rovider is reporting for payment. DSRIP payments may be withheld until the completed report is su</w:t>
      </w:r>
      <w:r w:rsidR="00A815E2">
        <w:rPr>
          <w:bCs/>
          <w:sz w:val="21"/>
          <w:szCs w:val="21"/>
        </w:rPr>
        <w:t>bmitted. For each project, the p</w:t>
      </w:r>
      <w:r w:rsidRPr="00593331">
        <w:rPr>
          <w:bCs/>
          <w:sz w:val="21"/>
          <w:szCs w:val="21"/>
        </w:rPr>
        <w:t>rovider should complete:</w:t>
      </w:r>
    </w:p>
    <w:p w:rsidR="00593331" w:rsidRDefault="00593331" w:rsidP="00593331">
      <w:pPr>
        <w:pStyle w:val="ListParagraph"/>
        <w:numPr>
          <w:ilvl w:val="1"/>
          <w:numId w:val="11"/>
        </w:numPr>
        <w:spacing w:after="0" w:line="240" w:lineRule="auto"/>
        <w:ind w:left="1080"/>
        <w:contextualSpacing w:val="0"/>
        <w:jc w:val="both"/>
        <w:rPr>
          <w:bCs/>
          <w:sz w:val="21"/>
          <w:szCs w:val="21"/>
        </w:rPr>
      </w:pPr>
      <w:r w:rsidRPr="00491817">
        <w:rPr>
          <w:bCs/>
          <w:sz w:val="21"/>
          <w:szCs w:val="21"/>
        </w:rPr>
        <w:t>“Provider Summary Report”</w:t>
      </w:r>
    </w:p>
    <w:p w:rsidR="00593331" w:rsidRPr="00491817" w:rsidRDefault="00593331" w:rsidP="00593331">
      <w:pPr>
        <w:pStyle w:val="ListParagraph"/>
        <w:numPr>
          <w:ilvl w:val="1"/>
          <w:numId w:val="11"/>
        </w:numPr>
        <w:spacing w:after="0" w:line="240" w:lineRule="auto"/>
        <w:ind w:left="1080"/>
        <w:contextualSpacing w:val="0"/>
        <w:jc w:val="both"/>
        <w:rPr>
          <w:bCs/>
          <w:sz w:val="21"/>
          <w:szCs w:val="21"/>
        </w:rPr>
      </w:pPr>
      <w:r w:rsidRPr="00491817">
        <w:rPr>
          <w:bCs/>
          <w:sz w:val="21"/>
          <w:szCs w:val="21"/>
        </w:rPr>
        <w:t>“Project Summary” tab – all questions must be answered for each Ca</w:t>
      </w:r>
      <w:r w:rsidR="007C6FED">
        <w:rPr>
          <w:bCs/>
          <w:sz w:val="21"/>
          <w:szCs w:val="21"/>
        </w:rPr>
        <w:t>t 1/2 DSRIP project</w:t>
      </w:r>
    </w:p>
    <w:p w:rsidR="00593331" w:rsidRDefault="00593331" w:rsidP="00593331">
      <w:pPr>
        <w:pStyle w:val="ListParagraph"/>
        <w:numPr>
          <w:ilvl w:val="2"/>
          <w:numId w:val="11"/>
        </w:numPr>
        <w:spacing w:after="0" w:line="240" w:lineRule="auto"/>
        <w:ind w:left="1800"/>
        <w:contextualSpacing w:val="0"/>
        <w:jc w:val="both"/>
        <w:rPr>
          <w:bCs/>
          <w:sz w:val="21"/>
          <w:szCs w:val="21"/>
        </w:rPr>
      </w:pPr>
      <w:r w:rsidRPr="00AD12B0">
        <w:rPr>
          <w:bCs/>
          <w:sz w:val="21"/>
          <w:szCs w:val="21"/>
        </w:rPr>
        <w:t>You may enter “N</w:t>
      </w:r>
      <w:r>
        <w:rPr>
          <w:bCs/>
          <w:sz w:val="21"/>
          <w:szCs w:val="21"/>
        </w:rPr>
        <w:t>/</w:t>
      </w:r>
      <w:r w:rsidRPr="00AD12B0">
        <w:rPr>
          <w:bCs/>
          <w:sz w:val="21"/>
          <w:szCs w:val="21"/>
        </w:rPr>
        <w:t>A” for some of the questions but there must be an explanation of why the response is “N</w:t>
      </w:r>
      <w:r>
        <w:rPr>
          <w:bCs/>
          <w:sz w:val="21"/>
          <w:szCs w:val="21"/>
        </w:rPr>
        <w:t>/</w:t>
      </w:r>
      <w:r w:rsidRPr="00AD12B0">
        <w:rPr>
          <w:bCs/>
          <w:sz w:val="21"/>
          <w:szCs w:val="21"/>
        </w:rPr>
        <w:t>A”</w:t>
      </w:r>
    </w:p>
    <w:p w:rsidR="00593331" w:rsidRPr="00AD12B0" w:rsidRDefault="00593331" w:rsidP="00593331">
      <w:pPr>
        <w:pStyle w:val="ListParagraph"/>
        <w:numPr>
          <w:ilvl w:val="2"/>
          <w:numId w:val="11"/>
        </w:numPr>
        <w:spacing w:after="0" w:line="240" w:lineRule="auto"/>
        <w:ind w:left="1800"/>
        <w:contextualSpacing w:val="0"/>
        <w:jc w:val="both"/>
        <w:rPr>
          <w:bCs/>
          <w:sz w:val="21"/>
          <w:szCs w:val="21"/>
        </w:rPr>
      </w:pPr>
      <w:r w:rsidRPr="00AD12B0">
        <w:rPr>
          <w:bCs/>
          <w:sz w:val="21"/>
          <w:szCs w:val="21"/>
        </w:rPr>
        <w:t>Under "Patient Impact for Medicaid/Low‐Income Uninsured Population" identify patient impact i</w:t>
      </w:r>
      <w:r>
        <w:rPr>
          <w:bCs/>
          <w:sz w:val="21"/>
          <w:szCs w:val="21"/>
        </w:rPr>
        <w:t>n DY4 and specify Medicaid/Low‐Income U</w:t>
      </w:r>
      <w:r w:rsidRPr="00AD12B0">
        <w:rPr>
          <w:bCs/>
          <w:sz w:val="21"/>
          <w:szCs w:val="21"/>
        </w:rPr>
        <w:t xml:space="preserve">ninsured percentage that </w:t>
      </w:r>
      <w:r w:rsidR="007C6FED">
        <w:rPr>
          <w:bCs/>
          <w:sz w:val="21"/>
          <w:szCs w:val="21"/>
        </w:rPr>
        <w:t>were</w:t>
      </w:r>
      <w:r w:rsidRPr="00AD12B0">
        <w:rPr>
          <w:bCs/>
          <w:sz w:val="21"/>
          <w:szCs w:val="21"/>
        </w:rPr>
        <w:t xml:space="preserve"> served, including </w:t>
      </w:r>
      <w:r>
        <w:rPr>
          <w:bCs/>
          <w:sz w:val="21"/>
          <w:szCs w:val="21"/>
        </w:rPr>
        <w:t>split percentages if available</w:t>
      </w:r>
    </w:p>
    <w:p w:rsidR="00593331" w:rsidRPr="00491817" w:rsidRDefault="00593331" w:rsidP="00593331">
      <w:pPr>
        <w:pStyle w:val="ListParagraph"/>
        <w:numPr>
          <w:ilvl w:val="2"/>
          <w:numId w:val="11"/>
        </w:numPr>
        <w:spacing w:after="0" w:line="240" w:lineRule="auto"/>
        <w:ind w:left="1800"/>
        <w:contextualSpacing w:val="0"/>
        <w:jc w:val="both"/>
        <w:rPr>
          <w:bCs/>
          <w:sz w:val="21"/>
          <w:szCs w:val="21"/>
        </w:rPr>
      </w:pPr>
      <w:r w:rsidRPr="00491817">
        <w:rPr>
          <w:bCs/>
          <w:sz w:val="21"/>
          <w:szCs w:val="21"/>
        </w:rPr>
        <w:t xml:space="preserve">Under "Progress on Core Components" list and describe progress on each required core component through </w:t>
      </w:r>
      <w:r>
        <w:rPr>
          <w:bCs/>
          <w:sz w:val="21"/>
          <w:szCs w:val="21"/>
        </w:rPr>
        <w:t>September 30, 2015</w:t>
      </w:r>
    </w:p>
    <w:p w:rsidR="00E847C0" w:rsidRPr="00A815E2" w:rsidRDefault="00593331" w:rsidP="00593331">
      <w:pPr>
        <w:pStyle w:val="ListParagraph"/>
        <w:numPr>
          <w:ilvl w:val="1"/>
          <w:numId w:val="11"/>
        </w:numPr>
        <w:spacing w:after="0" w:line="240" w:lineRule="auto"/>
        <w:ind w:left="1080"/>
        <w:contextualSpacing w:val="0"/>
        <w:jc w:val="both"/>
        <w:rPr>
          <w:bCs/>
          <w:sz w:val="21"/>
          <w:szCs w:val="21"/>
        </w:rPr>
      </w:pPr>
      <w:r w:rsidRPr="00491817">
        <w:rPr>
          <w:bCs/>
          <w:sz w:val="21"/>
          <w:szCs w:val="21"/>
        </w:rPr>
        <w:t>“Progress Update” field – must be completed for each Cat 1/2 m</w:t>
      </w:r>
      <w:r>
        <w:rPr>
          <w:bCs/>
          <w:sz w:val="21"/>
          <w:szCs w:val="21"/>
        </w:rPr>
        <w:t>etric and each Cat 3 milestone</w:t>
      </w:r>
    </w:p>
    <w:sectPr w:rsidR="00E847C0" w:rsidRPr="00A815E2" w:rsidSect="00593331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61243"/>
    <w:multiLevelType w:val="hybridMultilevel"/>
    <w:tmpl w:val="AF3887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7B74"/>
    <w:multiLevelType w:val="hybridMultilevel"/>
    <w:tmpl w:val="E0C691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45EC8"/>
    <w:multiLevelType w:val="hybridMultilevel"/>
    <w:tmpl w:val="D3003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30B6A"/>
    <w:multiLevelType w:val="hybridMultilevel"/>
    <w:tmpl w:val="1DAC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742D9"/>
    <w:multiLevelType w:val="hybridMultilevel"/>
    <w:tmpl w:val="91283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E71796"/>
    <w:multiLevelType w:val="hybridMultilevel"/>
    <w:tmpl w:val="01127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D808BF"/>
    <w:multiLevelType w:val="hybridMultilevel"/>
    <w:tmpl w:val="5F5CB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551E5C"/>
    <w:multiLevelType w:val="hybridMultilevel"/>
    <w:tmpl w:val="EBCC8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2228CB"/>
    <w:multiLevelType w:val="hybridMultilevel"/>
    <w:tmpl w:val="64603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642A4F"/>
    <w:multiLevelType w:val="hybridMultilevel"/>
    <w:tmpl w:val="C67E6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A7908"/>
    <w:multiLevelType w:val="hybridMultilevel"/>
    <w:tmpl w:val="31504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5441C1"/>
    <w:multiLevelType w:val="hybridMultilevel"/>
    <w:tmpl w:val="7E924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5D"/>
    <w:rsid w:val="000550C8"/>
    <w:rsid w:val="00084E21"/>
    <w:rsid w:val="000A0668"/>
    <w:rsid w:val="0027337E"/>
    <w:rsid w:val="00463661"/>
    <w:rsid w:val="00501912"/>
    <w:rsid w:val="00593331"/>
    <w:rsid w:val="005E3828"/>
    <w:rsid w:val="005E725D"/>
    <w:rsid w:val="007C6FED"/>
    <w:rsid w:val="008F1E03"/>
    <w:rsid w:val="00A6544C"/>
    <w:rsid w:val="00A815E2"/>
    <w:rsid w:val="00CD2E65"/>
    <w:rsid w:val="00DF6F3A"/>
    <w:rsid w:val="00E847C0"/>
    <w:rsid w:val="00ED59C3"/>
    <w:rsid w:val="00F0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DE2A3-1156-46CC-814C-325C7E99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4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54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C6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hhsc.state.tx.us/1115-docs/AprDY4_QPI_Compan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hsc.state.tx.us/1115-docs/AprDY4_QPI_Companion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hsc.state.tx.us/1115-docs/RHP/ReportingCoversheet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hsc.state.tx.us/1115-docs/DY4PerformanceTemplateInstruc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LoGalbo, Jennifer N.</dc:creator>
  <cp:keywords/>
  <dc:description/>
  <cp:lastModifiedBy>Lawson, Gina</cp:lastModifiedBy>
  <cp:revision>2</cp:revision>
  <dcterms:created xsi:type="dcterms:W3CDTF">2015-07-15T13:47:00Z</dcterms:created>
  <dcterms:modified xsi:type="dcterms:W3CDTF">2015-07-15T13:47:00Z</dcterms:modified>
</cp:coreProperties>
</file>