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D0" w:rsidRDefault="00523C13" w:rsidP="00523C13">
      <w:pPr>
        <w:spacing w:after="0" w:line="240" w:lineRule="auto"/>
        <w:rPr>
          <w:rFonts w:asciiTheme="majorHAnsi" w:hAnsiTheme="majorHAnsi" w:cstheme="minorHAnsi"/>
          <w:b/>
          <w:color w:val="632423" w:themeColor="accent2" w:themeShade="80"/>
          <w:sz w:val="28"/>
          <w:szCs w:val="28"/>
        </w:rPr>
      </w:pPr>
      <w:r>
        <w:rPr>
          <w:noProof/>
        </w:rPr>
        <mc:AlternateContent>
          <mc:Choice Requires="wps">
            <w:drawing>
              <wp:anchor distT="0" distB="0" distL="114300" distR="114300" simplePos="0" relativeHeight="251659264" behindDoc="0" locked="0" layoutInCell="1" allowOverlap="1" wp14:anchorId="566D4388" wp14:editId="38C48A4E">
                <wp:simplePos x="0" y="0"/>
                <wp:positionH relativeFrom="column">
                  <wp:posOffset>-21566</wp:posOffset>
                </wp:positionH>
                <wp:positionV relativeFrom="paragraph">
                  <wp:posOffset>-353683</wp:posOffset>
                </wp:positionV>
                <wp:extent cx="1639019" cy="1466491"/>
                <wp:effectExtent l="0" t="0" r="0" b="635"/>
                <wp:wrapNone/>
                <wp:docPr id="3" name="Text Box 3"/>
                <wp:cNvGraphicFramePr/>
                <a:graphic xmlns:a="http://schemas.openxmlformats.org/drawingml/2006/main">
                  <a:graphicData uri="http://schemas.microsoft.com/office/word/2010/wordprocessingShape">
                    <wps:wsp>
                      <wps:cNvSpPr txBox="1"/>
                      <wps:spPr>
                        <a:xfrm>
                          <a:off x="0" y="0"/>
                          <a:ext cx="1639019" cy="14664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3C13" w:rsidRDefault="00523C13" w:rsidP="00523C13">
                            <w:r>
                              <w:rPr>
                                <w:noProof/>
                              </w:rPr>
                              <w:drawing>
                                <wp:inline distT="0" distB="0" distL="0" distR="0" wp14:anchorId="357EDA66" wp14:editId="5E8D58DD">
                                  <wp:extent cx="1368425" cy="1368425"/>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8425" cy="1368425"/>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pt;margin-top:-27.85pt;width:129.05pt;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" fillcolor="white [3201]" stroked="f" strokeweight=".5pt">
                <v:textbox>
                  <w:txbxContent>
                    <w:p w:rsidR="00523C13" w:rsidRDefault="00523C13" w:rsidP="00523C13">
                      <w:r>
                        <w:rPr>
                          <w:noProof/>
                        </w:rPr>
                        <w:drawing>
                          <wp:inline distT="0" distB="0" distL="0" distR="0" wp14:anchorId="357EDA66" wp14:editId="5E8D58DD">
                            <wp:extent cx="1368425" cy="1368425"/>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425" cy="1368425"/>
                                    </a:xfrm>
                                    <a:prstGeom prst="rect">
                                      <a:avLst/>
                                    </a:prstGeom>
                                  </pic:spPr>
                                </pic:pic>
                              </a:graphicData>
                            </a:graphic>
                          </wp:inline>
                        </w:drawing>
                      </w:r>
                      <w:r>
                        <w:t xml:space="preserve"> </w:t>
                      </w:r>
                    </w:p>
                  </w:txbxContent>
                </v:textbox>
              </v:shape>
            </w:pict>
          </mc:Fallback>
        </mc:AlternateContent>
      </w:r>
      <w:r>
        <w:rPr>
          <w:rFonts w:cstheme="minorHAnsi"/>
          <w:b/>
          <w:color w:val="632423" w:themeColor="accent2" w:themeShade="80"/>
          <w:sz w:val="32"/>
          <w:szCs w:val="32"/>
        </w:rPr>
        <w:t xml:space="preserve">                                           </w:t>
      </w:r>
      <w:r w:rsidRPr="0061273B">
        <w:rPr>
          <w:rFonts w:cstheme="minorHAnsi"/>
          <w:b/>
          <w:color w:val="632423" w:themeColor="accent2" w:themeShade="80"/>
          <w:sz w:val="28"/>
          <w:szCs w:val="28"/>
        </w:rPr>
        <w:t xml:space="preserve"> </w:t>
      </w:r>
      <w:r>
        <w:rPr>
          <w:rFonts w:cstheme="minorHAnsi"/>
          <w:b/>
          <w:color w:val="632423" w:themeColor="accent2" w:themeShade="80"/>
          <w:sz w:val="28"/>
          <w:szCs w:val="28"/>
        </w:rPr>
        <w:t xml:space="preserve">     </w:t>
      </w:r>
      <w:r w:rsidRPr="00523C13">
        <w:rPr>
          <w:rFonts w:asciiTheme="majorHAnsi" w:hAnsiTheme="majorHAnsi" w:cstheme="minorHAnsi"/>
          <w:b/>
          <w:color w:val="632423" w:themeColor="accent2" w:themeShade="80"/>
          <w:sz w:val="28"/>
          <w:szCs w:val="28"/>
        </w:rPr>
        <w:t xml:space="preserve">  </w:t>
      </w:r>
    </w:p>
    <w:p w:rsidR="00523C13" w:rsidRPr="00523C13" w:rsidRDefault="00523C13" w:rsidP="00BA35D0">
      <w:pPr>
        <w:spacing w:after="0" w:line="240" w:lineRule="auto"/>
        <w:ind w:left="2880" w:firstLine="720"/>
        <w:rPr>
          <w:rFonts w:asciiTheme="majorHAnsi" w:hAnsiTheme="majorHAnsi" w:cstheme="minorHAnsi"/>
          <w:b/>
          <w:sz w:val="28"/>
          <w:szCs w:val="28"/>
        </w:rPr>
      </w:pPr>
      <w:r w:rsidRPr="00523C13">
        <w:rPr>
          <w:rFonts w:asciiTheme="majorHAnsi" w:hAnsiTheme="majorHAnsi" w:cstheme="minorHAnsi"/>
          <w:b/>
          <w:sz w:val="28"/>
          <w:szCs w:val="28"/>
        </w:rPr>
        <w:t xml:space="preserve">Regional Healthcare Partnership 8 </w:t>
      </w:r>
    </w:p>
    <w:p w:rsidR="00523C13" w:rsidRPr="00523C13" w:rsidRDefault="00523C13" w:rsidP="00523C13">
      <w:pPr>
        <w:spacing w:after="0" w:line="240" w:lineRule="auto"/>
        <w:ind w:left="1440" w:firstLine="720"/>
        <w:rPr>
          <w:rFonts w:asciiTheme="majorHAnsi" w:hAnsiTheme="majorHAnsi" w:cstheme="minorHAnsi"/>
          <w:b/>
          <w:sz w:val="28"/>
          <w:szCs w:val="28"/>
        </w:rPr>
      </w:pPr>
      <w:r w:rsidRPr="00523C13">
        <w:rPr>
          <w:rFonts w:asciiTheme="majorHAnsi" w:hAnsiTheme="majorHAnsi" w:cstheme="minorHAnsi"/>
          <w:b/>
          <w:sz w:val="28"/>
          <w:szCs w:val="28"/>
        </w:rPr>
        <w:t xml:space="preserve">       </w:t>
      </w:r>
      <w:r>
        <w:rPr>
          <w:rFonts w:asciiTheme="majorHAnsi" w:hAnsiTheme="majorHAnsi" w:cstheme="minorHAnsi"/>
          <w:b/>
          <w:sz w:val="28"/>
          <w:szCs w:val="28"/>
        </w:rPr>
        <w:t xml:space="preserve">           Overview of the 1115 Medicaid Waiver</w:t>
      </w:r>
    </w:p>
    <w:p w:rsidR="00523C13" w:rsidRPr="00523C13" w:rsidRDefault="00523C13" w:rsidP="00523C13">
      <w:pPr>
        <w:spacing w:after="0" w:line="240" w:lineRule="auto"/>
        <w:rPr>
          <w:rFonts w:asciiTheme="majorHAnsi" w:hAnsiTheme="majorHAnsi" w:cstheme="minorHAnsi"/>
          <w:b/>
          <w:sz w:val="24"/>
          <w:szCs w:val="24"/>
        </w:rPr>
      </w:pPr>
      <w:r w:rsidRPr="00523C13">
        <w:rPr>
          <w:rFonts w:asciiTheme="majorHAnsi" w:hAnsiTheme="majorHAnsi" w:cstheme="minorHAnsi"/>
          <w:b/>
          <w:sz w:val="28"/>
          <w:szCs w:val="28"/>
        </w:rPr>
        <w:t xml:space="preserve">                                                             </w:t>
      </w:r>
      <w:r w:rsidR="004C444D">
        <w:rPr>
          <w:rFonts w:asciiTheme="majorHAnsi" w:hAnsiTheme="majorHAnsi" w:cstheme="minorHAnsi"/>
          <w:b/>
          <w:sz w:val="24"/>
          <w:szCs w:val="24"/>
        </w:rPr>
        <w:t>August 20, 2014 • 1:00-</w:t>
      </w:r>
      <w:r w:rsidR="004C444D" w:rsidRPr="00523C13">
        <w:rPr>
          <w:rFonts w:asciiTheme="majorHAnsi" w:hAnsiTheme="majorHAnsi" w:cstheme="minorHAnsi"/>
          <w:b/>
          <w:sz w:val="24"/>
          <w:szCs w:val="24"/>
        </w:rPr>
        <w:t>4:00 p.m.</w:t>
      </w:r>
    </w:p>
    <w:p w:rsidR="00523C13" w:rsidRDefault="00523C13" w:rsidP="00523C13">
      <w:pPr>
        <w:tabs>
          <w:tab w:val="left" w:pos="6919"/>
        </w:tabs>
        <w:spacing w:after="0" w:line="240" w:lineRule="auto"/>
        <w:rPr>
          <w:rFonts w:asciiTheme="majorHAnsi" w:hAnsiTheme="majorHAnsi" w:cstheme="minorHAnsi"/>
        </w:rPr>
      </w:pPr>
      <w:r w:rsidRPr="00523C13">
        <w:rPr>
          <w:rFonts w:asciiTheme="majorHAnsi" w:hAnsiTheme="majorHAnsi" w:cstheme="minorHAnsi"/>
          <w:sz w:val="28"/>
          <w:szCs w:val="28"/>
        </w:rPr>
        <w:t xml:space="preserve">                                                            </w:t>
      </w:r>
    </w:p>
    <w:p w:rsidR="00523C13" w:rsidRPr="00D60D2D" w:rsidRDefault="00523C13" w:rsidP="00523C13">
      <w:pPr>
        <w:pBdr>
          <w:bottom w:val="single" w:sz="12" w:space="1" w:color="auto"/>
        </w:pBdr>
        <w:spacing w:after="0" w:line="240" w:lineRule="auto"/>
        <w:rPr>
          <w:rFonts w:cstheme="minorHAnsi"/>
        </w:rPr>
      </w:pPr>
    </w:p>
    <w:p w:rsidR="00523C13" w:rsidRPr="00A448BA" w:rsidRDefault="00523C13" w:rsidP="00523C13">
      <w:pPr>
        <w:spacing w:after="0" w:line="240" w:lineRule="auto"/>
        <w:jc w:val="both"/>
        <w:rPr>
          <w:rFonts w:cstheme="minorHAnsi"/>
          <w:szCs w:val="28"/>
        </w:rPr>
      </w:pPr>
    </w:p>
    <w:p w:rsidR="00D61BFF" w:rsidRPr="00D61BFF" w:rsidRDefault="00D61BFF" w:rsidP="00D61BFF">
      <w:pPr>
        <w:pStyle w:val="NoSpacing"/>
        <w:rPr>
          <w:rFonts w:asciiTheme="majorHAnsi" w:hAnsiTheme="majorHAnsi"/>
          <w:b/>
          <w:sz w:val="24"/>
          <w:u w:val="single"/>
        </w:rPr>
      </w:pPr>
      <w:r w:rsidRPr="00D61BFF">
        <w:rPr>
          <w:rFonts w:asciiTheme="majorHAnsi" w:hAnsiTheme="majorHAnsi"/>
          <w:b/>
          <w:sz w:val="24"/>
          <w:u w:val="single"/>
        </w:rPr>
        <w:t>What is the Texas Medicaid 1115 Waiver?</w:t>
      </w:r>
    </w:p>
    <w:p w:rsidR="00D604CB" w:rsidRPr="00D61BFF" w:rsidRDefault="00D604CB" w:rsidP="0045607B">
      <w:pPr>
        <w:pStyle w:val="NoSpacing"/>
        <w:jc w:val="both"/>
        <w:rPr>
          <w:rFonts w:asciiTheme="majorHAnsi" w:hAnsiTheme="majorHAnsi"/>
        </w:rPr>
      </w:pPr>
      <w:r w:rsidRPr="00D61BFF">
        <w:rPr>
          <w:rFonts w:asciiTheme="majorHAnsi" w:hAnsiTheme="majorHAnsi"/>
        </w:rPr>
        <w:t>A five-year program, spanning 2011 through 2016, that expand</w:t>
      </w:r>
      <w:r w:rsidR="005758DE" w:rsidRPr="00D61BFF">
        <w:rPr>
          <w:rFonts w:asciiTheme="majorHAnsi" w:hAnsiTheme="majorHAnsi"/>
        </w:rPr>
        <w:t>s</w:t>
      </w:r>
      <w:r w:rsidRPr="00D61BFF">
        <w:rPr>
          <w:rFonts w:asciiTheme="majorHAnsi" w:hAnsiTheme="majorHAnsi"/>
        </w:rPr>
        <w:t xml:space="preserve"> Medicaid ma</w:t>
      </w:r>
      <w:r w:rsidR="00020944" w:rsidRPr="00D61BFF">
        <w:rPr>
          <w:rFonts w:asciiTheme="majorHAnsi" w:hAnsiTheme="majorHAnsi"/>
        </w:rPr>
        <w:t>naged care statewide and create</w:t>
      </w:r>
      <w:r w:rsidR="005758DE" w:rsidRPr="00D61BFF">
        <w:rPr>
          <w:rFonts w:asciiTheme="majorHAnsi" w:hAnsiTheme="majorHAnsi"/>
        </w:rPr>
        <w:t>s</w:t>
      </w:r>
      <w:r w:rsidR="00020944" w:rsidRPr="00D61BFF">
        <w:rPr>
          <w:rFonts w:asciiTheme="majorHAnsi" w:hAnsiTheme="majorHAnsi"/>
        </w:rPr>
        <w:t xml:space="preserve"> </w:t>
      </w:r>
      <w:r w:rsidRPr="00D61BFF">
        <w:rPr>
          <w:rFonts w:asciiTheme="majorHAnsi" w:hAnsiTheme="majorHAnsi"/>
        </w:rPr>
        <w:t xml:space="preserve">an Uncompensated Care </w:t>
      </w:r>
      <w:r w:rsidR="00DB0025" w:rsidRPr="00D61BFF">
        <w:rPr>
          <w:rFonts w:asciiTheme="majorHAnsi" w:hAnsiTheme="majorHAnsi"/>
        </w:rPr>
        <w:t xml:space="preserve">(UC) </w:t>
      </w:r>
      <w:r w:rsidRPr="00D61BFF">
        <w:rPr>
          <w:rFonts w:asciiTheme="majorHAnsi" w:hAnsiTheme="majorHAnsi"/>
        </w:rPr>
        <w:t xml:space="preserve">Pool and a Delivery System Reform Incentive Payment (DSRIP) Pool. Through the DSRIP program, hospitals and other </w:t>
      </w:r>
      <w:r w:rsidR="00D61BFF" w:rsidRPr="00D61BFF">
        <w:rPr>
          <w:rFonts w:asciiTheme="majorHAnsi" w:hAnsiTheme="majorHAnsi"/>
        </w:rPr>
        <w:t>P</w:t>
      </w:r>
      <w:r w:rsidR="0045607B">
        <w:rPr>
          <w:rFonts w:asciiTheme="majorHAnsi" w:hAnsiTheme="majorHAnsi"/>
        </w:rPr>
        <w:t>roviders earn incentive payments</w:t>
      </w:r>
      <w:r w:rsidRPr="00D61BFF">
        <w:rPr>
          <w:rFonts w:asciiTheme="majorHAnsi" w:hAnsiTheme="majorHAnsi"/>
        </w:rPr>
        <w:t xml:space="preserve"> for investments in delivery system reforms that increase access to healthcare, improve the quality of care, and enhance the health of patients and families. </w:t>
      </w:r>
    </w:p>
    <w:p w:rsidR="00CE438C" w:rsidRPr="00D61BFF" w:rsidRDefault="00CE438C" w:rsidP="00D61BFF">
      <w:pPr>
        <w:pStyle w:val="NoSpacing"/>
        <w:rPr>
          <w:rFonts w:asciiTheme="majorHAnsi" w:hAnsiTheme="majorHAnsi" w:cs="Arial"/>
        </w:rPr>
      </w:pPr>
    </w:p>
    <w:p w:rsidR="00D604CB" w:rsidRPr="00D61BFF" w:rsidRDefault="00D604CB" w:rsidP="00D61BFF">
      <w:pPr>
        <w:pStyle w:val="NoSpacing"/>
        <w:rPr>
          <w:rFonts w:asciiTheme="majorHAnsi" w:hAnsiTheme="majorHAnsi"/>
          <w:b/>
          <w:sz w:val="24"/>
          <w:u w:val="single"/>
        </w:rPr>
      </w:pPr>
      <w:r w:rsidRPr="00D61BFF">
        <w:rPr>
          <w:rFonts w:asciiTheme="majorHAnsi" w:hAnsiTheme="majorHAnsi"/>
          <w:b/>
          <w:sz w:val="24"/>
          <w:u w:val="single"/>
        </w:rPr>
        <w:t xml:space="preserve">What is Regional Healthcare Partnership (RHP) </w:t>
      </w:r>
      <w:r w:rsidR="00DB0025" w:rsidRPr="00D61BFF">
        <w:rPr>
          <w:rFonts w:asciiTheme="majorHAnsi" w:hAnsiTheme="majorHAnsi"/>
          <w:b/>
          <w:sz w:val="24"/>
          <w:u w:val="single"/>
        </w:rPr>
        <w:t>8</w:t>
      </w:r>
      <w:r w:rsidRPr="00D61BFF">
        <w:rPr>
          <w:rFonts w:asciiTheme="majorHAnsi" w:hAnsiTheme="majorHAnsi"/>
          <w:b/>
          <w:sz w:val="24"/>
          <w:u w:val="single"/>
        </w:rPr>
        <w:t xml:space="preserve">? </w:t>
      </w:r>
    </w:p>
    <w:p w:rsidR="00111AB2" w:rsidRDefault="00D604CB" w:rsidP="0045607B">
      <w:pPr>
        <w:pStyle w:val="NoSpacing"/>
        <w:jc w:val="both"/>
        <w:rPr>
          <w:rFonts w:asciiTheme="majorHAnsi" w:hAnsiTheme="majorHAnsi" w:cs="Arial"/>
        </w:rPr>
      </w:pPr>
      <w:r w:rsidRPr="00D61BFF">
        <w:rPr>
          <w:rFonts w:asciiTheme="majorHAnsi" w:hAnsiTheme="majorHAnsi" w:cs="Arial"/>
        </w:rPr>
        <w:t xml:space="preserve">One of twenty regions in Texas, </w:t>
      </w:r>
      <w:r w:rsidR="00020944" w:rsidRPr="00D61BFF">
        <w:rPr>
          <w:rFonts w:asciiTheme="majorHAnsi" w:hAnsiTheme="majorHAnsi" w:cs="Arial"/>
        </w:rPr>
        <w:t xml:space="preserve">RHP </w:t>
      </w:r>
      <w:r w:rsidR="00DB0025" w:rsidRPr="00D61BFF">
        <w:rPr>
          <w:rFonts w:asciiTheme="majorHAnsi" w:hAnsiTheme="majorHAnsi" w:cs="Arial"/>
        </w:rPr>
        <w:t>8</w:t>
      </w:r>
      <w:r w:rsidR="00020944" w:rsidRPr="00D61BFF">
        <w:rPr>
          <w:rFonts w:asciiTheme="majorHAnsi" w:hAnsiTheme="majorHAnsi" w:cs="Arial"/>
        </w:rPr>
        <w:t xml:space="preserve"> </w:t>
      </w:r>
      <w:r w:rsidR="0045607B">
        <w:rPr>
          <w:rFonts w:asciiTheme="majorHAnsi" w:hAnsiTheme="majorHAnsi" w:cs="Arial"/>
        </w:rPr>
        <w:t>includes</w:t>
      </w:r>
      <w:r w:rsidRPr="00D61BFF">
        <w:rPr>
          <w:rFonts w:asciiTheme="majorHAnsi" w:hAnsiTheme="majorHAnsi" w:cs="Arial"/>
        </w:rPr>
        <w:t xml:space="preserve"> </w:t>
      </w:r>
      <w:r w:rsidR="00DB0025" w:rsidRPr="00D61BFF">
        <w:rPr>
          <w:rFonts w:asciiTheme="majorHAnsi" w:hAnsiTheme="majorHAnsi" w:cs="Arial"/>
        </w:rPr>
        <w:t>9</w:t>
      </w:r>
      <w:r w:rsidRPr="00D61BFF">
        <w:rPr>
          <w:rFonts w:asciiTheme="majorHAnsi" w:hAnsiTheme="majorHAnsi" w:cs="Arial"/>
        </w:rPr>
        <w:t xml:space="preserve"> counties</w:t>
      </w:r>
      <w:r w:rsidR="0045607B">
        <w:rPr>
          <w:rFonts w:asciiTheme="majorHAnsi" w:hAnsiTheme="majorHAnsi" w:cs="Arial"/>
        </w:rPr>
        <w:t>, with 1</w:t>
      </w:r>
      <w:r w:rsidR="00DB0025" w:rsidRPr="00D61BFF">
        <w:rPr>
          <w:rFonts w:asciiTheme="majorHAnsi" w:hAnsiTheme="majorHAnsi" w:cs="Arial"/>
        </w:rPr>
        <w:t>2</w:t>
      </w:r>
      <w:r w:rsidRPr="00D61BFF">
        <w:rPr>
          <w:rFonts w:asciiTheme="majorHAnsi" w:hAnsiTheme="majorHAnsi" w:cs="Arial"/>
        </w:rPr>
        <w:t xml:space="preserve"> </w:t>
      </w:r>
      <w:r w:rsidR="0045607B">
        <w:rPr>
          <w:rFonts w:asciiTheme="majorHAnsi" w:hAnsiTheme="majorHAnsi" w:cs="Arial"/>
        </w:rPr>
        <w:t xml:space="preserve">DSRIP </w:t>
      </w:r>
      <w:r w:rsidR="00D61BFF" w:rsidRPr="00D61BFF">
        <w:rPr>
          <w:rFonts w:asciiTheme="majorHAnsi" w:hAnsiTheme="majorHAnsi" w:cs="Arial"/>
        </w:rPr>
        <w:t>P</w:t>
      </w:r>
      <w:r w:rsidRPr="00D61BFF">
        <w:rPr>
          <w:rFonts w:asciiTheme="majorHAnsi" w:hAnsiTheme="majorHAnsi" w:cs="Arial"/>
        </w:rPr>
        <w:t>roviders</w:t>
      </w:r>
      <w:r w:rsidR="00EE31C1">
        <w:rPr>
          <w:rFonts w:asciiTheme="majorHAnsi" w:hAnsiTheme="majorHAnsi" w:cs="Arial"/>
        </w:rPr>
        <w:t xml:space="preserve"> </w:t>
      </w:r>
      <w:r w:rsidRPr="00D61BFF">
        <w:rPr>
          <w:rFonts w:asciiTheme="majorHAnsi" w:hAnsiTheme="majorHAnsi" w:cs="Arial"/>
        </w:rPr>
        <w:t>implement</w:t>
      </w:r>
      <w:r w:rsidR="00EE31C1">
        <w:rPr>
          <w:rFonts w:asciiTheme="majorHAnsi" w:hAnsiTheme="majorHAnsi" w:cs="Arial"/>
        </w:rPr>
        <w:t>ing</w:t>
      </w:r>
      <w:r w:rsidRPr="00D61BFF">
        <w:rPr>
          <w:rFonts w:asciiTheme="majorHAnsi" w:hAnsiTheme="majorHAnsi" w:cs="Arial"/>
        </w:rPr>
        <w:t xml:space="preserve"> more than </w:t>
      </w:r>
      <w:r w:rsidR="00DB0025" w:rsidRPr="00D61BFF">
        <w:rPr>
          <w:rFonts w:asciiTheme="majorHAnsi" w:hAnsiTheme="majorHAnsi" w:cs="Arial"/>
        </w:rPr>
        <w:t>90</w:t>
      </w:r>
      <w:r w:rsidRPr="00D61BFF">
        <w:rPr>
          <w:rFonts w:asciiTheme="majorHAnsi" w:hAnsiTheme="majorHAnsi" w:cs="Arial"/>
        </w:rPr>
        <w:t xml:space="preserve"> projects valued at over </w:t>
      </w:r>
      <w:r w:rsidR="0045607B">
        <w:rPr>
          <w:rFonts w:asciiTheme="majorHAnsi" w:hAnsiTheme="majorHAnsi" w:cs="Arial"/>
        </w:rPr>
        <w:t xml:space="preserve">100 </w:t>
      </w:r>
      <w:r w:rsidR="00DB0025" w:rsidRPr="00D61BFF">
        <w:rPr>
          <w:rFonts w:asciiTheme="majorHAnsi" w:hAnsiTheme="majorHAnsi" w:cs="Arial"/>
        </w:rPr>
        <w:t xml:space="preserve">million </w:t>
      </w:r>
      <w:r w:rsidRPr="00D61BFF">
        <w:rPr>
          <w:rFonts w:asciiTheme="majorHAnsi" w:hAnsiTheme="majorHAnsi" w:cs="Arial"/>
        </w:rPr>
        <w:t xml:space="preserve">dollars. Projects are designed to address community needs and achieve the </w:t>
      </w:r>
      <w:r w:rsidR="00FA5439" w:rsidRPr="00D61BFF">
        <w:rPr>
          <w:rFonts w:asciiTheme="majorHAnsi" w:hAnsiTheme="majorHAnsi" w:cs="Arial"/>
        </w:rPr>
        <w:t>Triple Aim</w:t>
      </w:r>
      <w:r w:rsidR="0045607B">
        <w:rPr>
          <w:rFonts w:asciiTheme="majorHAnsi" w:hAnsiTheme="majorHAnsi" w:cs="Arial"/>
        </w:rPr>
        <w:t xml:space="preserve"> goals of improving</w:t>
      </w:r>
      <w:r w:rsidR="0045607B" w:rsidRPr="0045607B">
        <w:rPr>
          <w:rFonts w:asciiTheme="majorHAnsi" w:hAnsiTheme="majorHAnsi" w:cs="Arial"/>
        </w:rPr>
        <w:t xml:space="preserve"> the patient experience of care (inclu</w:t>
      </w:r>
      <w:r w:rsidR="0045607B">
        <w:rPr>
          <w:rFonts w:asciiTheme="majorHAnsi" w:hAnsiTheme="majorHAnsi" w:cs="Arial"/>
        </w:rPr>
        <w:t>ding quality and satisfaction) and the health of populations, and r</w:t>
      </w:r>
      <w:r w:rsidR="0045607B" w:rsidRPr="0045607B">
        <w:rPr>
          <w:rFonts w:asciiTheme="majorHAnsi" w:hAnsiTheme="majorHAnsi" w:cs="Arial"/>
        </w:rPr>
        <w:t>educing th</w:t>
      </w:r>
      <w:r w:rsidR="0045607B">
        <w:rPr>
          <w:rFonts w:asciiTheme="majorHAnsi" w:hAnsiTheme="majorHAnsi" w:cs="Arial"/>
        </w:rPr>
        <w:t>e per capita cost of healthcare</w:t>
      </w:r>
      <w:r w:rsidR="00111336" w:rsidRPr="00D61BFF">
        <w:rPr>
          <w:rFonts w:asciiTheme="majorHAnsi" w:hAnsiTheme="majorHAnsi" w:cs="Arial"/>
        </w:rPr>
        <w:t xml:space="preserve">. </w:t>
      </w:r>
      <w:r w:rsidR="00D61BFF" w:rsidRPr="00D61BFF">
        <w:rPr>
          <w:rFonts w:asciiTheme="majorHAnsi" w:hAnsiTheme="majorHAnsi" w:cs="Arial"/>
        </w:rPr>
        <w:t>DSRIP P</w:t>
      </w:r>
      <w:r w:rsidRPr="00D61BFF">
        <w:rPr>
          <w:rFonts w:asciiTheme="majorHAnsi" w:hAnsiTheme="majorHAnsi" w:cs="Arial"/>
        </w:rPr>
        <w:t>roviders include</w:t>
      </w:r>
      <w:r w:rsidR="00D61BFF" w:rsidRPr="00D61BFF">
        <w:rPr>
          <w:rFonts w:asciiTheme="majorHAnsi" w:hAnsiTheme="majorHAnsi" w:cs="Arial"/>
        </w:rPr>
        <w:t>:</w:t>
      </w:r>
      <w:r w:rsidRPr="00D61BFF">
        <w:rPr>
          <w:rFonts w:asciiTheme="majorHAnsi" w:hAnsiTheme="majorHAnsi" w:cs="Arial"/>
        </w:rPr>
        <w:t xml:space="preserve"> public and private</w:t>
      </w:r>
      <w:r w:rsidR="00020944" w:rsidRPr="00D61BFF">
        <w:rPr>
          <w:rFonts w:asciiTheme="majorHAnsi" w:hAnsiTheme="majorHAnsi" w:cs="Arial"/>
        </w:rPr>
        <w:t xml:space="preserve"> hospitals, </w:t>
      </w:r>
      <w:r w:rsidRPr="00D61BFF">
        <w:rPr>
          <w:rFonts w:asciiTheme="majorHAnsi" w:hAnsiTheme="majorHAnsi" w:cs="Arial"/>
        </w:rPr>
        <w:t>community mental health centers</w:t>
      </w:r>
      <w:r w:rsidR="00020944" w:rsidRPr="00D61BFF">
        <w:rPr>
          <w:rFonts w:asciiTheme="majorHAnsi" w:hAnsiTheme="majorHAnsi" w:cs="Arial"/>
        </w:rPr>
        <w:t xml:space="preserve">, </w:t>
      </w:r>
      <w:r w:rsidRPr="00D61BFF">
        <w:rPr>
          <w:rFonts w:asciiTheme="majorHAnsi" w:hAnsiTheme="majorHAnsi" w:cs="Arial"/>
        </w:rPr>
        <w:t xml:space="preserve">public health departments, and physician practices affiliated with academic medical schools. </w:t>
      </w:r>
    </w:p>
    <w:p w:rsidR="00111AB2" w:rsidRDefault="00111AB2" w:rsidP="0045607B">
      <w:pPr>
        <w:pStyle w:val="NoSpacing"/>
        <w:jc w:val="both"/>
        <w:rPr>
          <w:rFonts w:asciiTheme="majorHAnsi" w:hAnsiTheme="majorHAnsi" w:cs="Arial"/>
        </w:rPr>
      </w:pPr>
    </w:p>
    <w:p w:rsidR="00020944" w:rsidRPr="00D61BFF" w:rsidRDefault="00DB0025" w:rsidP="0045607B">
      <w:pPr>
        <w:pStyle w:val="NoSpacing"/>
        <w:jc w:val="both"/>
        <w:rPr>
          <w:rFonts w:asciiTheme="majorHAnsi" w:hAnsiTheme="majorHAnsi" w:cs="Arial"/>
        </w:rPr>
      </w:pPr>
      <w:r w:rsidRPr="00D61BFF">
        <w:rPr>
          <w:rFonts w:asciiTheme="majorHAnsi" w:hAnsiTheme="majorHAnsi" w:cs="Arial"/>
        </w:rPr>
        <w:t>Texas A&amp;M Health Science Center</w:t>
      </w:r>
      <w:r w:rsidR="00D604CB" w:rsidRPr="00D61BFF">
        <w:rPr>
          <w:rFonts w:asciiTheme="majorHAnsi" w:hAnsiTheme="majorHAnsi" w:cs="Arial"/>
        </w:rPr>
        <w:t xml:space="preserve"> is the designated “Anchor” for RHP </w:t>
      </w:r>
      <w:r w:rsidRPr="00D61BFF">
        <w:rPr>
          <w:rFonts w:asciiTheme="majorHAnsi" w:hAnsiTheme="majorHAnsi" w:cs="Arial"/>
        </w:rPr>
        <w:t>8</w:t>
      </w:r>
      <w:r w:rsidR="00D604CB" w:rsidRPr="00D61BFF">
        <w:rPr>
          <w:rFonts w:asciiTheme="majorHAnsi" w:hAnsiTheme="majorHAnsi" w:cs="Arial"/>
        </w:rPr>
        <w:t xml:space="preserve"> and serves as liaison between the Texas Health and Human Services Commission (HHSC) and the DSRIP providers.</w:t>
      </w:r>
      <w:r w:rsidR="00034CB7" w:rsidRPr="00D61BFF">
        <w:rPr>
          <w:rFonts w:asciiTheme="majorHAnsi" w:hAnsiTheme="majorHAnsi" w:cs="Arial"/>
        </w:rPr>
        <w:t xml:space="preserve"> </w:t>
      </w:r>
    </w:p>
    <w:p w:rsidR="00CE438C" w:rsidRPr="00D61BFF" w:rsidRDefault="00CE438C" w:rsidP="0045607B">
      <w:pPr>
        <w:pStyle w:val="NoSpacing"/>
        <w:jc w:val="both"/>
        <w:rPr>
          <w:rFonts w:asciiTheme="majorHAnsi" w:hAnsiTheme="majorHAnsi" w:cs="Arial"/>
        </w:rPr>
      </w:pPr>
    </w:p>
    <w:p w:rsidR="00020944" w:rsidRPr="00D61BFF" w:rsidRDefault="00020944" w:rsidP="00D61BFF">
      <w:pPr>
        <w:pStyle w:val="NoSpacing"/>
        <w:rPr>
          <w:rFonts w:asciiTheme="majorHAnsi" w:hAnsiTheme="majorHAnsi"/>
          <w:b/>
          <w:sz w:val="24"/>
          <w:u w:val="single"/>
        </w:rPr>
      </w:pPr>
      <w:r w:rsidRPr="00D61BFF">
        <w:rPr>
          <w:rFonts w:asciiTheme="majorHAnsi" w:hAnsiTheme="majorHAnsi"/>
          <w:b/>
          <w:sz w:val="24"/>
          <w:u w:val="single"/>
        </w:rPr>
        <w:t>Which</w:t>
      </w:r>
      <w:r w:rsidR="00D61BFF">
        <w:rPr>
          <w:rFonts w:asciiTheme="majorHAnsi" w:hAnsiTheme="majorHAnsi"/>
          <w:b/>
          <w:sz w:val="24"/>
          <w:u w:val="single"/>
        </w:rPr>
        <w:t xml:space="preserve"> Counties are I</w:t>
      </w:r>
      <w:r w:rsidRPr="00D61BFF">
        <w:rPr>
          <w:rFonts w:asciiTheme="majorHAnsi" w:hAnsiTheme="majorHAnsi"/>
          <w:b/>
          <w:sz w:val="24"/>
          <w:u w:val="single"/>
        </w:rPr>
        <w:t xml:space="preserve">ncluded in RHP </w:t>
      </w:r>
      <w:r w:rsidR="00CC12CA" w:rsidRPr="00D61BFF">
        <w:rPr>
          <w:rFonts w:asciiTheme="majorHAnsi" w:hAnsiTheme="majorHAnsi"/>
          <w:b/>
          <w:sz w:val="24"/>
          <w:u w:val="single"/>
        </w:rPr>
        <w:t>8</w:t>
      </w:r>
      <w:r w:rsidRPr="00D61BFF">
        <w:rPr>
          <w:rFonts w:asciiTheme="majorHAnsi" w:hAnsiTheme="majorHAnsi"/>
          <w:b/>
          <w:sz w:val="24"/>
          <w:u w:val="single"/>
        </w:rPr>
        <w:t>?</w:t>
      </w:r>
    </w:p>
    <w:p w:rsidR="00A34B1E" w:rsidRPr="00D61BFF" w:rsidRDefault="00FC5E39" w:rsidP="0045607B">
      <w:pPr>
        <w:pStyle w:val="NoSpacing"/>
        <w:jc w:val="both"/>
        <w:rPr>
          <w:rFonts w:asciiTheme="majorHAnsi" w:hAnsiTheme="majorHAnsi" w:cs="Arial"/>
        </w:rPr>
      </w:pPr>
      <w:r>
        <w:rPr>
          <w:rFonts w:asciiTheme="majorHAnsi" w:hAnsiTheme="majorHAnsi" w:cs="Arial"/>
        </w:rPr>
        <w:t xml:space="preserve">RHP 8 includes 9 counties in the central Texas region, these include: </w:t>
      </w:r>
      <w:r w:rsidR="00DB0025" w:rsidRPr="00D61BFF">
        <w:rPr>
          <w:rFonts w:asciiTheme="majorHAnsi" w:hAnsiTheme="majorHAnsi" w:cs="Arial"/>
        </w:rPr>
        <w:t>Bell, Blanco, Burnet, Lampasas, Llano, Milam, Mills, San Saba, and Williamson</w:t>
      </w:r>
      <w:r>
        <w:rPr>
          <w:rFonts w:asciiTheme="majorHAnsi" w:hAnsiTheme="majorHAnsi" w:cs="Arial"/>
        </w:rPr>
        <w:t>.</w:t>
      </w:r>
    </w:p>
    <w:p w:rsidR="00A34B1E" w:rsidRPr="00D61BFF" w:rsidRDefault="00A34B1E" w:rsidP="0045607B">
      <w:pPr>
        <w:pStyle w:val="NoSpacing"/>
        <w:jc w:val="both"/>
        <w:rPr>
          <w:rFonts w:asciiTheme="majorHAnsi" w:hAnsiTheme="majorHAnsi" w:cs="Arial"/>
        </w:rPr>
      </w:pPr>
    </w:p>
    <w:p w:rsidR="00EE31C1" w:rsidRPr="00A30F91" w:rsidRDefault="00697C85" w:rsidP="00D61BFF">
      <w:pPr>
        <w:pStyle w:val="NoSpacing"/>
        <w:rPr>
          <w:rFonts w:asciiTheme="majorHAnsi" w:hAnsiTheme="majorHAnsi"/>
          <w:b/>
          <w:sz w:val="24"/>
          <w:u w:val="single"/>
        </w:rPr>
      </w:pPr>
      <w:r w:rsidRPr="00D61BFF">
        <w:rPr>
          <w:rFonts w:asciiTheme="majorHAnsi" w:hAnsiTheme="majorHAnsi"/>
          <w:b/>
          <w:sz w:val="24"/>
          <w:u w:val="single"/>
        </w:rPr>
        <w:t xml:space="preserve">Who are the </w:t>
      </w:r>
      <w:r w:rsidR="00D61BFF">
        <w:rPr>
          <w:rFonts w:asciiTheme="majorHAnsi" w:hAnsiTheme="majorHAnsi"/>
          <w:b/>
          <w:sz w:val="24"/>
          <w:u w:val="single"/>
        </w:rPr>
        <w:t>E</w:t>
      </w:r>
      <w:r w:rsidRPr="00D61BFF">
        <w:rPr>
          <w:rFonts w:asciiTheme="majorHAnsi" w:hAnsiTheme="majorHAnsi"/>
          <w:b/>
          <w:sz w:val="24"/>
          <w:u w:val="single"/>
        </w:rPr>
        <w:t xml:space="preserve">ligible and </w:t>
      </w:r>
      <w:r w:rsidR="00D61BFF">
        <w:rPr>
          <w:rFonts w:asciiTheme="majorHAnsi" w:hAnsiTheme="majorHAnsi"/>
          <w:b/>
          <w:sz w:val="24"/>
          <w:u w:val="single"/>
        </w:rPr>
        <w:t>P</w:t>
      </w:r>
      <w:r w:rsidRPr="00D61BFF">
        <w:rPr>
          <w:rFonts w:asciiTheme="majorHAnsi" w:hAnsiTheme="majorHAnsi"/>
          <w:b/>
          <w:sz w:val="24"/>
          <w:u w:val="single"/>
        </w:rPr>
        <w:t>arti</w:t>
      </w:r>
      <w:r w:rsidR="00D61BFF">
        <w:rPr>
          <w:rFonts w:asciiTheme="majorHAnsi" w:hAnsiTheme="majorHAnsi"/>
          <w:b/>
          <w:sz w:val="24"/>
          <w:u w:val="single"/>
        </w:rPr>
        <w:t xml:space="preserve">cipating “Providers” </w:t>
      </w:r>
      <w:r w:rsidRPr="00D61BFF">
        <w:rPr>
          <w:rFonts w:asciiTheme="majorHAnsi" w:hAnsiTheme="majorHAnsi"/>
          <w:b/>
          <w:sz w:val="24"/>
          <w:u w:val="single"/>
        </w:rPr>
        <w:t>in RHP</w:t>
      </w:r>
      <w:r w:rsidR="00CC12CA" w:rsidRPr="00D61BFF">
        <w:rPr>
          <w:rFonts w:asciiTheme="majorHAnsi" w:hAnsiTheme="majorHAnsi"/>
          <w:b/>
          <w:sz w:val="24"/>
          <w:u w:val="single"/>
        </w:rPr>
        <w:t>8</w:t>
      </w:r>
      <w:r w:rsidRPr="00D61BFF">
        <w:rPr>
          <w:rFonts w:asciiTheme="majorHAnsi" w:hAnsiTheme="majorHAnsi"/>
          <w:b/>
          <w:sz w:val="24"/>
          <w:u w:val="single"/>
        </w:rPr>
        <w:t>?</w:t>
      </w:r>
    </w:p>
    <w:tbl>
      <w:tblPr>
        <w:tblStyle w:val="TableGrid"/>
        <w:tblW w:w="10800" w:type="dxa"/>
        <w:tblInd w:w="108" w:type="dxa"/>
        <w:tblLook w:val="04A0" w:firstRow="1" w:lastRow="0" w:firstColumn="1" w:lastColumn="0" w:noHBand="0" w:noVBand="1"/>
      </w:tblPr>
      <w:tblGrid>
        <w:gridCol w:w="2610"/>
        <w:gridCol w:w="2700"/>
        <w:gridCol w:w="2700"/>
        <w:gridCol w:w="2790"/>
      </w:tblGrid>
      <w:tr w:rsidR="00D61BFF" w:rsidRPr="00D61BFF" w:rsidTr="00FC5E39">
        <w:tc>
          <w:tcPr>
            <w:tcW w:w="5310" w:type="dxa"/>
            <w:gridSpan w:val="2"/>
          </w:tcPr>
          <w:p w:rsidR="00D61BFF" w:rsidRPr="00E750FD" w:rsidRDefault="00D61BFF" w:rsidP="000D7A76">
            <w:pPr>
              <w:pStyle w:val="NoSpacing"/>
              <w:jc w:val="center"/>
              <w:rPr>
                <w:rFonts w:asciiTheme="majorHAnsi" w:hAnsiTheme="majorHAnsi"/>
                <w:b/>
              </w:rPr>
            </w:pPr>
            <w:r w:rsidRPr="00E750FD">
              <w:rPr>
                <w:rFonts w:asciiTheme="majorHAnsi" w:hAnsiTheme="majorHAnsi"/>
                <w:b/>
              </w:rPr>
              <w:t>Hospitals</w:t>
            </w:r>
          </w:p>
        </w:tc>
        <w:tc>
          <w:tcPr>
            <w:tcW w:w="2700" w:type="dxa"/>
          </w:tcPr>
          <w:p w:rsidR="00D61BFF" w:rsidRPr="00E750FD" w:rsidRDefault="00D61BFF" w:rsidP="000D7A76">
            <w:pPr>
              <w:pStyle w:val="NoSpacing"/>
              <w:jc w:val="center"/>
              <w:rPr>
                <w:rFonts w:asciiTheme="majorHAnsi" w:hAnsiTheme="majorHAnsi"/>
                <w:b/>
              </w:rPr>
            </w:pPr>
            <w:r w:rsidRPr="00E750FD">
              <w:rPr>
                <w:rFonts w:asciiTheme="majorHAnsi" w:hAnsiTheme="majorHAnsi"/>
                <w:b/>
              </w:rPr>
              <w:t>Local Health Departments</w:t>
            </w:r>
          </w:p>
        </w:tc>
        <w:tc>
          <w:tcPr>
            <w:tcW w:w="2790" w:type="dxa"/>
          </w:tcPr>
          <w:p w:rsidR="00D61BFF" w:rsidRPr="0045607B" w:rsidRDefault="0045607B" w:rsidP="0045607B">
            <w:pPr>
              <w:pStyle w:val="NoSpacing"/>
              <w:jc w:val="center"/>
              <w:rPr>
                <w:rFonts w:asciiTheme="majorHAnsi" w:hAnsiTheme="majorHAnsi"/>
                <w:b/>
              </w:rPr>
            </w:pPr>
            <w:r w:rsidRPr="0045607B">
              <w:rPr>
                <w:rFonts w:asciiTheme="majorHAnsi" w:hAnsiTheme="majorHAnsi" w:cs="Arial"/>
                <w:b/>
              </w:rPr>
              <w:t>Community Mental Health Centers</w:t>
            </w:r>
          </w:p>
        </w:tc>
      </w:tr>
      <w:tr w:rsidR="00D61BFF" w:rsidRPr="00D61BFF" w:rsidTr="00FC5E39">
        <w:tc>
          <w:tcPr>
            <w:tcW w:w="2610" w:type="dxa"/>
          </w:tcPr>
          <w:p w:rsidR="00D61BFF" w:rsidRPr="00D61BFF" w:rsidRDefault="00D61BFF" w:rsidP="00D61BFF">
            <w:pPr>
              <w:pStyle w:val="NoSpacing"/>
              <w:rPr>
                <w:rFonts w:asciiTheme="majorHAnsi" w:hAnsiTheme="majorHAnsi"/>
              </w:rPr>
            </w:pPr>
            <w:r w:rsidRPr="00D61BFF">
              <w:rPr>
                <w:rFonts w:asciiTheme="majorHAnsi" w:hAnsiTheme="majorHAnsi"/>
              </w:rPr>
              <w:t>Cedar Park*</w:t>
            </w:r>
          </w:p>
        </w:tc>
        <w:tc>
          <w:tcPr>
            <w:tcW w:w="2700" w:type="dxa"/>
          </w:tcPr>
          <w:p w:rsidR="00D61BFF" w:rsidRPr="00D61BFF" w:rsidRDefault="00D61BFF" w:rsidP="00D61BFF">
            <w:pPr>
              <w:pStyle w:val="NoSpacing"/>
              <w:rPr>
                <w:rFonts w:asciiTheme="majorHAnsi" w:hAnsiTheme="majorHAnsi"/>
              </w:rPr>
            </w:pPr>
            <w:r w:rsidRPr="00D61BFF">
              <w:rPr>
                <w:rFonts w:asciiTheme="majorHAnsi" w:hAnsiTheme="majorHAnsi"/>
              </w:rPr>
              <w:t>Scott &amp; White - Memorial</w:t>
            </w:r>
          </w:p>
        </w:tc>
        <w:tc>
          <w:tcPr>
            <w:tcW w:w="2700" w:type="dxa"/>
          </w:tcPr>
          <w:p w:rsidR="00D61BFF" w:rsidRPr="00D61BFF" w:rsidRDefault="00D61BFF" w:rsidP="00D61BFF">
            <w:pPr>
              <w:pStyle w:val="NoSpacing"/>
              <w:rPr>
                <w:rFonts w:asciiTheme="majorHAnsi" w:hAnsiTheme="majorHAnsi"/>
              </w:rPr>
            </w:pPr>
            <w:r w:rsidRPr="00D61BFF">
              <w:rPr>
                <w:rFonts w:asciiTheme="majorHAnsi" w:hAnsiTheme="majorHAnsi"/>
              </w:rPr>
              <w:t>Bell County Public Health District</w:t>
            </w:r>
          </w:p>
        </w:tc>
        <w:tc>
          <w:tcPr>
            <w:tcW w:w="2790" w:type="dxa"/>
          </w:tcPr>
          <w:p w:rsidR="00D61BFF" w:rsidRPr="00D61BFF" w:rsidRDefault="00D61BFF" w:rsidP="00D61BFF">
            <w:pPr>
              <w:pStyle w:val="NoSpacing"/>
              <w:rPr>
                <w:rFonts w:asciiTheme="majorHAnsi" w:hAnsiTheme="majorHAnsi"/>
              </w:rPr>
            </w:pPr>
            <w:r w:rsidRPr="00D61BFF">
              <w:rPr>
                <w:rFonts w:asciiTheme="majorHAnsi" w:hAnsiTheme="majorHAnsi"/>
              </w:rPr>
              <w:t>Bluebonnet Trails Community Services</w:t>
            </w:r>
          </w:p>
        </w:tc>
      </w:tr>
      <w:tr w:rsidR="00D61BFF" w:rsidRPr="00D61BFF" w:rsidTr="00FC5E39">
        <w:tc>
          <w:tcPr>
            <w:tcW w:w="2610" w:type="dxa"/>
          </w:tcPr>
          <w:p w:rsidR="00D61BFF" w:rsidRPr="00D61BFF" w:rsidRDefault="00D61BFF" w:rsidP="00D61BFF">
            <w:pPr>
              <w:pStyle w:val="NoSpacing"/>
              <w:rPr>
                <w:rFonts w:asciiTheme="majorHAnsi" w:hAnsiTheme="majorHAnsi"/>
              </w:rPr>
            </w:pPr>
            <w:r w:rsidRPr="00D61BFF">
              <w:rPr>
                <w:rFonts w:asciiTheme="majorHAnsi" w:hAnsiTheme="majorHAnsi"/>
              </w:rPr>
              <w:t>Cedar Crest*</w:t>
            </w:r>
          </w:p>
        </w:tc>
        <w:tc>
          <w:tcPr>
            <w:tcW w:w="2700" w:type="dxa"/>
          </w:tcPr>
          <w:p w:rsidR="00D61BFF" w:rsidRPr="00D61BFF" w:rsidRDefault="00D61BFF" w:rsidP="00D61BFF">
            <w:pPr>
              <w:pStyle w:val="NoSpacing"/>
              <w:rPr>
                <w:rFonts w:asciiTheme="majorHAnsi" w:hAnsiTheme="majorHAnsi"/>
              </w:rPr>
            </w:pPr>
            <w:r w:rsidRPr="00D61BFF">
              <w:rPr>
                <w:rFonts w:asciiTheme="majorHAnsi" w:hAnsiTheme="majorHAnsi"/>
              </w:rPr>
              <w:t>Scott &amp; White – Round Rock</w:t>
            </w:r>
          </w:p>
        </w:tc>
        <w:tc>
          <w:tcPr>
            <w:tcW w:w="2700" w:type="dxa"/>
          </w:tcPr>
          <w:p w:rsidR="00D61BFF" w:rsidRPr="00D61BFF" w:rsidRDefault="00D61BFF" w:rsidP="00D61BFF">
            <w:pPr>
              <w:pStyle w:val="NoSpacing"/>
              <w:rPr>
                <w:rFonts w:asciiTheme="majorHAnsi" w:hAnsiTheme="majorHAnsi"/>
              </w:rPr>
            </w:pPr>
            <w:r w:rsidRPr="00D61BFF">
              <w:rPr>
                <w:rFonts w:asciiTheme="majorHAnsi" w:hAnsiTheme="majorHAnsi"/>
              </w:rPr>
              <w:t>Williamson County &amp; Cities Health District</w:t>
            </w:r>
          </w:p>
        </w:tc>
        <w:tc>
          <w:tcPr>
            <w:tcW w:w="2790" w:type="dxa"/>
          </w:tcPr>
          <w:p w:rsidR="00D61BFF" w:rsidRPr="00D61BFF" w:rsidRDefault="00D61BFF" w:rsidP="00D61BFF">
            <w:pPr>
              <w:pStyle w:val="NoSpacing"/>
              <w:rPr>
                <w:rFonts w:asciiTheme="majorHAnsi" w:hAnsiTheme="majorHAnsi"/>
              </w:rPr>
            </w:pPr>
            <w:r w:rsidRPr="00D61BFF">
              <w:rPr>
                <w:rFonts w:asciiTheme="majorHAnsi" w:hAnsiTheme="majorHAnsi"/>
              </w:rPr>
              <w:t>Center for Life</w:t>
            </w:r>
          </w:p>
        </w:tc>
      </w:tr>
      <w:tr w:rsidR="00D61BFF" w:rsidRPr="00D61BFF" w:rsidTr="00FC5E39">
        <w:tc>
          <w:tcPr>
            <w:tcW w:w="2610" w:type="dxa"/>
          </w:tcPr>
          <w:p w:rsidR="00D61BFF" w:rsidRPr="00D61BFF" w:rsidRDefault="00D61BFF" w:rsidP="00D61BFF">
            <w:pPr>
              <w:pStyle w:val="NoSpacing"/>
              <w:rPr>
                <w:rFonts w:asciiTheme="majorHAnsi" w:hAnsiTheme="majorHAnsi"/>
              </w:rPr>
            </w:pPr>
            <w:r w:rsidRPr="00D61BFF">
              <w:rPr>
                <w:rFonts w:asciiTheme="majorHAnsi" w:hAnsiTheme="majorHAnsi"/>
              </w:rPr>
              <w:t>Metroplex Health System*</w:t>
            </w:r>
          </w:p>
        </w:tc>
        <w:tc>
          <w:tcPr>
            <w:tcW w:w="2700" w:type="dxa"/>
          </w:tcPr>
          <w:p w:rsidR="00D61BFF" w:rsidRPr="00D61BFF" w:rsidRDefault="00D61BFF" w:rsidP="00D61BFF">
            <w:pPr>
              <w:pStyle w:val="NoSpacing"/>
              <w:rPr>
                <w:rFonts w:asciiTheme="majorHAnsi" w:hAnsiTheme="majorHAnsi"/>
              </w:rPr>
            </w:pPr>
            <w:r w:rsidRPr="00D61BFF">
              <w:rPr>
                <w:rFonts w:asciiTheme="majorHAnsi" w:hAnsiTheme="majorHAnsi"/>
              </w:rPr>
              <w:t>Seton Harker Heights</w:t>
            </w:r>
          </w:p>
        </w:tc>
        <w:tc>
          <w:tcPr>
            <w:tcW w:w="2700" w:type="dxa"/>
            <w:vMerge w:val="restart"/>
          </w:tcPr>
          <w:p w:rsidR="00D61BFF" w:rsidRPr="00D61BFF" w:rsidRDefault="00D61BFF" w:rsidP="00D61BFF">
            <w:pPr>
              <w:pStyle w:val="NoSpacing"/>
              <w:rPr>
                <w:rFonts w:asciiTheme="majorHAnsi" w:hAnsiTheme="majorHAnsi"/>
              </w:rPr>
            </w:pPr>
          </w:p>
        </w:tc>
        <w:tc>
          <w:tcPr>
            <w:tcW w:w="2790" w:type="dxa"/>
          </w:tcPr>
          <w:p w:rsidR="00D61BFF" w:rsidRPr="00D61BFF" w:rsidRDefault="00D61BFF" w:rsidP="00D61BFF">
            <w:pPr>
              <w:pStyle w:val="NoSpacing"/>
              <w:rPr>
                <w:rFonts w:asciiTheme="majorHAnsi" w:hAnsiTheme="majorHAnsi"/>
              </w:rPr>
            </w:pPr>
            <w:r w:rsidRPr="00D61BFF">
              <w:rPr>
                <w:rFonts w:asciiTheme="majorHAnsi" w:hAnsiTheme="majorHAnsi"/>
              </w:rPr>
              <w:t>Central Counties Services</w:t>
            </w:r>
          </w:p>
        </w:tc>
      </w:tr>
      <w:tr w:rsidR="00D61BFF" w:rsidRPr="00D61BFF" w:rsidTr="00FC5E39">
        <w:tc>
          <w:tcPr>
            <w:tcW w:w="2610" w:type="dxa"/>
          </w:tcPr>
          <w:p w:rsidR="00D61BFF" w:rsidRPr="00D61BFF" w:rsidRDefault="00D61BFF" w:rsidP="00D61BFF">
            <w:pPr>
              <w:pStyle w:val="NoSpacing"/>
              <w:rPr>
                <w:rFonts w:asciiTheme="majorHAnsi" w:hAnsiTheme="majorHAnsi"/>
              </w:rPr>
            </w:pPr>
            <w:r w:rsidRPr="00D61BFF">
              <w:rPr>
                <w:rFonts w:asciiTheme="majorHAnsi" w:hAnsiTheme="majorHAnsi"/>
              </w:rPr>
              <w:t>Rollins Brook Community Hospital*</w:t>
            </w:r>
          </w:p>
        </w:tc>
        <w:tc>
          <w:tcPr>
            <w:tcW w:w="2700" w:type="dxa"/>
          </w:tcPr>
          <w:p w:rsidR="00D61BFF" w:rsidRPr="00D61BFF" w:rsidRDefault="00D61BFF" w:rsidP="00D61BFF">
            <w:pPr>
              <w:pStyle w:val="NoSpacing"/>
              <w:rPr>
                <w:rFonts w:asciiTheme="majorHAnsi" w:hAnsiTheme="majorHAnsi"/>
              </w:rPr>
            </w:pPr>
            <w:r w:rsidRPr="00D61BFF">
              <w:rPr>
                <w:rFonts w:asciiTheme="majorHAnsi" w:hAnsiTheme="majorHAnsi"/>
              </w:rPr>
              <w:t>Seton Healthcare Williamson*</w:t>
            </w:r>
          </w:p>
        </w:tc>
        <w:tc>
          <w:tcPr>
            <w:tcW w:w="2700" w:type="dxa"/>
            <w:vMerge/>
          </w:tcPr>
          <w:p w:rsidR="00D61BFF" w:rsidRPr="00D61BFF" w:rsidRDefault="00D61BFF" w:rsidP="00D61BFF">
            <w:pPr>
              <w:pStyle w:val="NoSpacing"/>
              <w:rPr>
                <w:rFonts w:asciiTheme="majorHAnsi" w:hAnsiTheme="majorHAnsi"/>
              </w:rPr>
            </w:pPr>
          </w:p>
        </w:tc>
        <w:tc>
          <w:tcPr>
            <w:tcW w:w="2790" w:type="dxa"/>
          </w:tcPr>
          <w:p w:rsidR="00D61BFF" w:rsidRPr="00D61BFF" w:rsidRDefault="00D61BFF" w:rsidP="00D61BFF">
            <w:pPr>
              <w:pStyle w:val="NoSpacing"/>
              <w:rPr>
                <w:rFonts w:asciiTheme="majorHAnsi" w:hAnsiTheme="majorHAnsi"/>
              </w:rPr>
            </w:pPr>
            <w:r w:rsidRPr="00D61BFF">
              <w:rPr>
                <w:rFonts w:asciiTheme="majorHAnsi" w:hAnsiTheme="majorHAnsi"/>
              </w:rPr>
              <w:t>Hill Country Mental Health&amp; Developmental Disabilities Centers</w:t>
            </w:r>
          </w:p>
        </w:tc>
      </w:tr>
      <w:tr w:rsidR="00D61BFF" w:rsidRPr="00D61BFF" w:rsidTr="00FC5E39">
        <w:tc>
          <w:tcPr>
            <w:tcW w:w="2610" w:type="dxa"/>
          </w:tcPr>
          <w:p w:rsidR="00D61BFF" w:rsidRPr="00D61BFF" w:rsidRDefault="00D61BFF" w:rsidP="00D61BFF">
            <w:pPr>
              <w:pStyle w:val="NoSpacing"/>
              <w:rPr>
                <w:rFonts w:asciiTheme="majorHAnsi" w:hAnsiTheme="majorHAnsi"/>
              </w:rPr>
            </w:pPr>
            <w:r w:rsidRPr="00D61BFF">
              <w:rPr>
                <w:rFonts w:asciiTheme="majorHAnsi" w:hAnsiTheme="majorHAnsi"/>
              </w:rPr>
              <w:t>Scott &amp; White Clinic*</w:t>
            </w:r>
          </w:p>
        </w:tc>
        <w:tc>
          <w:tcPr>
            <w:tcW w:w="2700" w:type="dxa"/>
          </w:tcPr>
          <w:p w:rsidR="00D61BFF" w:rsidRPr="00D61BFF" w:rsidRDefault="00D61BFF" w:rsidP="00D61BFF">
            <w:pPr>
              <w:pStyle w:val="NoSpacing"/>
              <w:rPr>
                <w:rFonts w:asciiTheme="majorHAnsi" w:hAnsiTheme="majorHAnsi"/>
              </w:rPr>
            </w:pPr>
            <w:r w:rsidRPr="00D61BFF">
              <w:rPr>
                <w:rFonts w:asciiTheme="majorHAnsi" w:hAnsiTheme="majorHAnsi"/>
              </w:rPr>
              <w:t>Seton Highland Lakes</w:t>
            </w:r>
          </w:p>
        </w:tc>
        <w:tc>
          <w:tcPr>
            <w:tcW w:w="2700" w:type="dxa"/>
            <w:vMerge/>
          </w:tcPr>
          <w:p w:rsidR="00D61BFF" w:rsidRPr="00D61BFF" w:rsidRDefault="00D61BFF" w:rsidP="00D61BFF">
            <w:pPr>
              <w:pStyle w:val="NoSpacing"/>
              <w:rPr>
                <w:rFonts w:asciiTheme="majorHAnsi" w:hAnsiTheme="majorHAnsi"/>
              </w:rPr>
            </w:pPr>
          </w:p>
        </w:tc>
        <w:tc>
          <w:tcPr>
            <w:tcW w:w="2790" w:type="dxa"/>
            <w:vMerge w:val="restart"/>
          </w:tcPr>
          <w:p w:rsidR="00D61BFF" w:rsidRPr="00D61BFF" w:rsidRDefault="00D61BFF" w:rsidP="00D61BFF">
            <w:pPr>
              <w:pStyle w:val="NoSpacing"/>
              <w:rPr>
                <w:rFonts w:asciiTheme="majorHAnsi" w:hAnsiTheme="majorHAnsi"/>
              </w:rPr>
            </w:pPr>
          </w:p>
        </w:tc>
      </w:tr>
      <w:tr w:rsidR="00D61BFF" w:rsidRPr="00D61BFF" w:rsidTr="00FC5E39">
        <w:tc>
          <w:tcPr>
            <w:tcW w:w="2610" w:type="dxa"/>
          </w:tcPr>
          <w:p w:rsidR="00D61BFF" w:rsidRPr="00D61BFF" w:rsidRDefault="00D61BFF" w:rsidP="00D61BFF">
            <w:pPr>
              <w:pStyle w:val="NoSpacing"/>
              <w:rPr>
                <w:rFonts w:asciiTheme="majorHAnsi" w:hAnsiTheme="majorHAnsi"/>
              </w:rPr>
            </w:pPr>
            <w:r w:rsidRPr="00D61BFF">
              <w:rPr>
                <w:rFonts w:asciiTheme="majorHAnsi" w:hAnsiTheme="majorHAnsi"/>
              </w:rPr>
              <w:t>Scott &amp; White – Llano</w:t>
            </w:r>
          </w:p>
        </w:tc>
        <w:tc>
          <w:tcPr>
            <w:tcW w:w="2700" w:type="dxa"/>
          </w:tcPr>
          <w:p w:rsidR="00D61BFF" w:rsidRPr="00D61BFF" w:rsidRDefault="00D61BFF" w:rsidP="00D61BFF">
            <w:pPr>
              <w:pStyle w:val="NoSpacing"/>
              <w:rPr>
                <w:rFonts w:asciiTheme="majorHAnsi" w:hAnsiTheme="majorHAnsi"/>
              </w:rPr>
            </w:pPr>
            <w:r w:rsidRPr="00D61BFF">
              <w:rPr>
                <w:rFonts w:asciiTheme="majorHAnsi" w:hAnsiTheme="majorHAnsi"/>
              </w:rPr>
              <w:t>St. David’s Round Rock Medical Center</w:t>
            </w:r>
          </w:p>
        </w:tc>
        <w:tc>
          <w:tcPr>
            <w:tcW w:w="2700" w:type="dxa"/>
            <w:vMerge/>
          </w:tcPr>
          <w:p w:rsidR="00D61BFF" w:rsidRPr="00D61BFF" w:rsidRDefault="00D61BFF" w:rsidP="00D61BFF">
            <w:pPr>
              <w:pStyle w:val="NoSpacing"/>
              <w:rPr>
                <w:rFonts w:asciiTheme="majorHAnsi" w:hAnsiTheme="majorHAnsi"/>
              </w:rPr>
            </w:pPr>
          </w:p>
        </w:tc>
        <w:tc>
          <w:tcPr>
            <w:tcW w:w="2790" w:type="dxa"/>
            <w:vMerge/>
          </w:tcPr>
          <w:p w:rsidR="00D61BFF" w:rsidRPr="00D61BFF" w:rsidRDefault="00D61BFF" w:rsidP="00D61BFF">
            <w:pPr>
              <w:pStyle w:val="NoSpacing"/>
              <w:rPr>
                <w:rFonts w:asciiTheme="majorHAnsi" w:hAnsiTheme="majorHAnsi"/>
              </w:rPr>
            </w:pPr>
          </w:p>
        </w:tc>
      </w:tr>
    </w:tbl>
    <w:p w:rsidR="00D61BFF" w:rsidRDefault="00DB0025" w:rsidP="00D61BFF">
      <w:pPr>
        <w:pStyle w:val="NoSpacing"/>
        <w:rPr>
          <w:rFonts w:asciiTheme="majorHAnsi" w:hAnsiTheme="majorHAnsi"/>
        </w:rPr>
      </w:pPr>
      <w:r w:rsidRPr="00D61BFF">
        <w:rPr>
          <w:rFonts w:asciiTheme="majorHAnsi" w:hAnsiTheme="majorHAnsi"/>
        </w:rPr>
        <w:t>*Participating in the UC</w:t>
      </w:r>
      <w:r w:rsidR="00A30F91">
        <w:rPr>
          <w:rFonts w:asciiTheme="majorHAnsi" w:hAnsiTheme="majorHAnsi"/>
        </w:rPr>
        <w:t>-Only</w:t>
      </w:r>
      <w:r w:rsidRPr="00D61BFF">
        <w:rPr>
          <w:rFonts w:asciiTheme="majorHAnsi" w:hAnsiTheme="majorHAnsi"/>
        </w:rPr>
        <w:t xml:space="preserve"> Pool </w:t>
      </w:r>
    </w:p>
    <w:p w:rsidR="000D7A76" w:rsidRDefault="000D7A76" w:rsidP="00D61BFF">
      <w:pPr>
        <w:pStyle w:val="NoSpacing"/>
        <w:rPr>
          <w:rFonts w:asciiTheme="majorHAnsi" w:hAnsiTheme="majorHAnsi"/>
          <w:b/>
          <w:sz w:val="24"/>
          <w:u w:val="single"/>
        </w:rPr>
      </w:pPr>
    </w:p>
    <w:p w:rsidR="000025AF" w:rsidRPr="00FC5E39" w:rsidRDefault="004C444D" w:rsidP="00D61BFF">
      <w:pPr>
        <w:pStyle w:val="NoSpacing"/>
        <w:rPr>
          <w:rFonts w:asciiTheme="majorHAnsi" w:hAnsiTheme="majorHAnsi"/>
        </w:rPr>
      </w:pPr>
      <w:r w:rsidRPr="00D61BFF">
        <w:rPr>
          <w:rFonts w:asciiTheme="majorHAnsi" w:hAnsiTheme="majorHAnsi"/>
          <w:b/>
          <w:sz w:val="24"/>
          <w:u w:val="single"/>
        </w:rPr>
        <w:t xml:space="preserve">How </w:t>
      </w:r>
      <w:r>
        <w:rPr>
          <w:rFonts w:asciiTheme="majorHAnsi" w:hAnsiTheme="majorHAnsi"/>
          <w:b/>
          <w:sz w:val="24"/>
          <w:u w:val="single"/>
        </w:rPr>
        <w:t>w</w:t>
      </w:r>
      <w:r w:rsidRPr="00D61BFF">
        <w:rPr>
          <w:rFonts w:asciiTheme="majorHAnsi" w:hAnsiTheme="majorHAnsi"/>
          <w:b/>
          <w:sz w:val="24"/>
          <w:u w:val="single"/>
        </w:rPr>
        <w:t xml:space="preserve">ere DSRIP </w:t>
      </w:r>
      <w:r>
        <w:rPr>
          <w:rFonts w:asciiTheme="majorHAnsi" w:hAnsiTheme="majorHAnsi"/>
          <w:b/>
          <w:sz w:val="24"/>
          <w:u w:val="single"/>
        </w:rPr>
        <w:t>P</w:t>
      </w:r>
      <w:r w:rsidRPr="00D61BFF">
        <w:rPr>
          <w:rFonts w:asciiTheme="majorHAnsi" w:hAnsiTheme="majorHAnsi"/>
          <w:b/>
          <w:sz w:val="24"/>
          <w:u w:val="single"/>
        </w:rPr>
        <w:t xml:space="preserve">rojects </w:t>
      </w:r>
      <w:r>
        <w:rPr>
          <w:rFonts w:asciiTheme="majorHAnsi" w:hAnsiTheme="majorHAnsi"/>
          <w:b/>
          <w:sz w:val="24"/>
          <w:u w:val="single"/>
        </w:rPr>
        <w:t>S</w:t>
      </w:r>
      <w:r w:rsidRPr="00D61BFF">
        <w:rPr>
          <w:rFonts w:asciiTheme="majorHAnsi" w:hAnsiTheme="majorHAnsi"/>
          <w:b/>
          <w:sz w:val="24"/>
          <w:u w:val="single"/>
        </w:rPr>
        <w:t>elected?</w:t>
      </w:r>
    </w:p>
    <w:p w:rsidR="00883210" w:rsidRPr="00D61BFF" w:rsidRDefault="000025AF" w:rsidP="0045607B">
      <w:pPr>
        <w:pStyle w:val="NoSpacing"/>
        <w:jc w:val="both"/>
        <w:rPr>
          <w:rFonts w:asciiTheme="majorHAnsi" w:hAnsiTheme="majorHAnsi" w:cs="Arial"/>
        </w:rPr>
      </w:pPr>
      <w:r w:rsidRPr="00D61BFF">
        <w:rPr>
          <w:rFonts w:asciiTheme="majorHAnsi" w:hAnsiTheme="majorHAnsi" w:cs="Arial"/>
        </w:rPr>
        <w:t xml:space="preserve">Each Provider selected projects from a menu called the RHP Planning Protocol. The menu was developed and approved by HHSC and the Centers for Medicare and Medicaid Services (CMS). Each project option included a list of core components and </w:t>
      </w:r>
      <w:r w:rsidR="00CE438C" w:rsidRPr="00D61BFF">
        <w:rPr>
          <w:rFonts w:asciiTheme="majorHAnsi" w:hAnsiTheme="majorHAnsi" w:cs="Arial"/>
        </w:rPr>
        <w:t xml:space="preserve">a </w:t>
      </w:r>
      <w:r w:rsidRPr="00D61BFF">
        <w:rPr>
          <w:rFonts w:asciiTheme="majorHAnsi" w:hAnsiTheme="majorHAnsi" w:cs="Arial"/>
        </w:rPr>
        <w:t xml:space="preserve">series of milestones and metrics from which the </w:t>
      </w:r>
      <w:r w:rsidR="00D61BFF">
        <w:rPr>
          <w:rFonts w:asciiTheme="majorHAnsi" w:hAnsiTheme="majorHAnsi" w:cs="Arial"/>
        </w:rPr>
        <w:t>P</w:t>
      </w:r>
      <w:r w:rsidRPr="00D61BFF">
        <w:rPr>
          <w:rFonts w:asciiTheme="majorHAnsi" w:hAnsiTheme="majorHAnsi" w:cs="Arial"/>
        </w:rPr>
        <w:t>rov</w:t>
      </w:r>
      <w:r w:rsidR="00CE438C" w:rsidRPr="00D61BFF">
        <w:rPr>
          <w:rFonts w:asciiTheme="majorHAnsi" w:hAnsiTheme="majorHAnsi" w:cs="Arial"/>
        </w:rPr>
        <w:t xml:space="preserve">iders could choose. Providers selected projects that met the greatest needs of their patients, service areas, and/or communities. </w:t>
      </w:r>
    </w:p>
    <w:p w:rsidR="00EE31C1" w:rsidRDefault="00EE31C1" w:rsidP="00D61BFF">
      <w:pPr>
        <w:pStyle w:val="NoSpacing"/>
        <w:rPr>
          <w:rFonts w:asciiTheme="majorHAnsi" w:hAnsiTheme="majorHAnsi"/>
        </w:rPr>
      </w:pPr>
    </w:p>
    <w:p w:rsidR="0045607B" w:rsidRDefault="0045607B" w:rsidP="00D61BFF">
      <w:pPr>
        <w:pStyle w:val="NoSpacing"/>
        <w:rPr>
          <w:rFonts w:asciiTheme="majorHAnsi" w:hAnsiTheme="majorHAnsi"/>
        </w:rPr>
      </w:pPr>
    </w:p>
    <w:p w:rsidR="0045607B" w:rsidRPr="00D61BFF" w:rsidRDefault="0045607B" w:rsidP="00D61BFF">
      <w:pPr>
        <w:pStyle w:val="NoSpacing"/>
        <w:rPr>
          <w:rFonts w:asciiTheme="majorHAnsi" w:hAnsiTheme="majorHAnsi"/>
        </w:rPr>
      </w:pPr>
    </w:p>
    <w:p w:rsidR="00DE123C" w:rsidRDefault="00034CB7" w:rsidP="00D61BFF">
      <w:pPr>
        <w:pStyle w:val="NoSpacing"/>
        <w:rPr>
          <w:rFonts w:asciiTheme="majorHAnsi" w:hAnsiTheme="majorHAnsi"/>
          <w:b/>
          <w:sz w:val="24"/>
          <w:u w:val="single"/>
        </w:rPr>
      </w:pPr>
      <w:r w:rsidRPr="00D61BFF">
        <w:rPr>
          <w:rFonts w:asciiTheme="majorHAnsi" w:hAnsiTheme="majorHAnsi"/>
          <w:b/>
          <w:sz w:val="24"/>
          <w:u w:val="single"/>
        </w:rPr>
        <w:lastRenderedPageBreak/>
        <w:t xml:space="preserve">When </w:t>
      </w:r>
      <w:r w:rsidR="008257B8" w:rsidRPr="00D61BFF">
        <w:rPr>
          <w:rFonts w:asciiTheme="majorHAnsi" w:hAnsiTheme="majorHAnsi"/>
          <w:b/>
          <w:sz w:val="24"/>
          <w:u w:val="single"/>
        </w:rPr>
        <w:t>were</w:t>
      </w:r>
      <w:r w:rsidRPr="00D61BFF">
        <w:rPr>
          <w:rFonts w:asciiTheme="majorHAnsi" w:hAnsiTheme="majorHAnsi"/>
          <w:b/>
          <w:sz w:val="24"/>
          <w:u w:val="single"/>
        </w:rPr>
        <w:t xml:space="preserve"> </w:t>
      </w:r>
      <w:r w:rsidR="00D61BFF">
        <w:rPr>
          <w:rFonts w:asciiTheme="majorHAnsi" w:hAnsiTheme="majorHAnsi"/>
          <w:b/>
          <w:sz w:val="24"/>
          <w:u w:val="single"/>
        </w:rPr>
        <w:t>P</w:t>
      </w:r>
      <w:r w:rsidRPr="00D61BFF">
        <w:rPr>
          <w:rFonts w:asciiTheme="majorHAnsi" w:hAnsiTheme="majorHAnsi"/>
          <w:b/>
          <w:sz w:val="24"/>
          <w:u w:val="single"/>
        </w:rPr>
        <w:t>rojects</w:t>
      </w:r>
      <w:r w:rsidR="00D61BFF">
        <w:rPr>
          <w:rFonts w:asciiTheme="majorHAnsi" w:hAnsiTheme="majorHAnsi"/>
          <w:b/>
          <w:sz w:val="24"/>
          <w:u w:val="single"/>
        </w:rPr>
        <w:t xml:space="preserve"> S</w:t>
      </w:r>
      <w:r w:rsidRPr="00D61BFF">
        <w:rPr>
          <w:rFonts w:asciiTheme="majorHAnsi" w:hAnsiTheme="majorHAnsi"/>
          <w:b/>
          <w:sz w:val="24"/>
          <w:u w:val="single"/>
        </w:rPr>
        <w:t>ubmitted</w:t>
      </w:r>
      <w:r w:rsidR="00DF3EBC" w:rsidRPr="00D61BFF">
        <w:rPr>
          <w:rFonts w:asciiTheme="majorHAnsi" w:hAnsiTheme="majorHAnsi"/>
          <w:b/>
          <w:sz w:val="24"/>
          <w:u w:val="single"/>
        </w:rPr>
        <w:t xml:space="preserve"> and </w:t>
      </w:r>
      <w:r w:rsidR="00D61BFF">
        <w:rPr>
          <w:rFonts w:asciiTheme="majorHAnsi" w:hAnsiTheme="majorHAnsi"/>
          <w:b/>
          <w:sz w:val="24"/>
          <w:u w:val="single"/>
        </w:rPr>
        <w:t>A</w:t>
      </w:r>
      <w:r w:rsidR="00DF3EBC" w:rsidRPr="00D61BFF">
        <w:rPr>
          <w:rFonts w:asciiTheme="majorHAnsi" w:hAnsiTheme="majorHAnsi"/>
          <w:b/>
          <w:sz w:val="24"/>
          <w:u w:val="single"/>
        </w:rPr>
        <w:t>pproved</w:t>
      </w:r>
      <w:r w:rsidRPr="00D61BFF">
        <w:rPr>
          <w:rFonts w:asciiTheme="majorHAnsi" w:hAnsiTheme="majorHAnsi"/>
          <w:b/>
          <w:sz w:val="24"/>
          <w:u w:val="single"/>
        </w:rPr>
        <w:t>?</w:t>
      </w:r>
    </w:p>
    <w:tbl>
      <w:tblPr>
        <w:tblStyle w:val="TableGrid"/>
        <w:tblW w:w="0" w:type="auto"/>
        <w:tblInd w:w="108" w:type="dxa"/>
        <w:tblLook w:val="04A0" w:firstRow="1" w:lastRow="0" w:firstColumn="1" w:lastColumn="0" w:noHBand="0" w:noVBand="1"/>
      </w:tblPr>
      <w:tblGrid>
        <w:gridCol w:w="2070"/>
        <w:gridCol w:w="8838"/>
      </w:tblGrid>
      <w:tr w:rsidR="00523C13" w:rsidTr="0045607B">
        <w:tc>
          <w:tcPr>
            <w:tcW w:w="2070" w:type="dxa"/>
          </w:tcPr>
          <w:p w:rsidR="00523C13" w:rsidRPr="00E750FD" w:rsidRDefault="00523C13" w:rsidP="00523C13">
            <w:pPr>
              <w:pStyle w:val="NoSpacing"/>
              <w:jc w:val="center"/>
              <w:rPr>
                <w:rFonts w:asciiTheme="majorHAnsi" w:hAnsiTheme="majorHAnsi"/>
                <w:b/>
              </w:rPr>
            </w:pPr>
            <w:r w:rsidRPr="00E750FD">
              <w:rPr>
                <w:rFonts w:asciiTheme="majorHAnsi" w:hAnsiTheme="majorHAnsi"/>
                <w:b/>
              </w:rPr>
              <w:t>Date</w:t>
            </w:r>
          </w:p>
        </w:tc>
        <w:tc>
          <w:tcPr>
            <w:tcW w:w="8838" w:type="dxa"/>
          </w:tcPr>
          <w:p w:rsidR="00523C13" w:rsidRPr="00E750FD" w:rsidRDefault="00523C13" w:rsidP="00523C13">
            <w:pPr>
              <w:pStyle w:val="NoSpacing"/>
              <w:jc w:val="center"/>
              <w:rPr>
                <w:rFonts w:asciiTheme="majorHAnsi" w:hAnsiTheme="majorHAnsi"/>
                <w:b/>
              </w:rPr>
            </w:pPr>
            <w:r w:rsidRPr="00E750FD">
              <w:rPr>
                <w:rFonts w:asciiTheme="majorHAnsi" w:hAnsiTheme="majorHAnsi"/>
                <w:b/>
              </w:rPr>
              <w:t>Activity</w:t>
            </w:r>
          </w:p>
        </w:tc>
      </w:tr>
      <w:tr w:rsidR="00523C13" w:rsidTr="0045607B">
        <w:tc>
          <w:tcPr>
            <w:tcW w:w="2070" w:type="dxa"/>
          </w:tcPr>
          <w:p w:rsidR="00523C13" w:rsidRDefault="000D7A76" w:rsidP="0045607B">
            <w:pPr>
              <w:pStyle w:val="NoSpacing"/>
              <w:rPr>
                <w:rFonts w:asciiTheme="majorHAnsi" w:hAnsiTheme="majorHAnsi"/>
                <w:b/>
                <w:sz w:val="24"/>
                <w:u w:val="single"/>
              </w:rPr>
            </w:pPr>
            <w:r w:rsidRPr="00D61BFF">
              <w:rPr>
                <w:rFonts w:asciiTheme="majorHAnsi" w:hAnsiTheme="majorHAnsi"/>
              </w:rPr>
              <w:t>December 2012</w:t>
            </w:r>
          </w:p>
        </w:tc>
        <w:tc>
          <w:tcPr>
            <w:tcW w:w="8838" w:type="dxa"/>
          </w:tcPr>
          <w:p w:rsidR="00523C13" w:rsidRDefault="000D7A76" w:rsidP="00D61BFF">
            <w:pPr>
              <w:pStyle w:val="NoSpacing"/>
              <w:rPr>
                <w:rFonts w:asciiTheme="majorHAnsi" w:hAnsiTheme="majorHAnsi"/>
                <w:b/>
                <w:sz w:val="24"/>
                <w:u w:val="single"/>
              </w:rPr>
            </w:pPr>
            <w:r w:rsidRPr="00D61BFF">
              <w:rPr>
                <w:rFonts w:asciiTheme="majorHAnsi" w:hAnsiTheme="majorHAnsi"/>
              </w:rPr>
              <w:t>RHP Plan submitted to HHSC</w:t>
            </w:r>
          </w:p>
        </w:tc>
      </w:tr>
      <w:tr w:rsidR="00523C13" w:rsidTr="0045607B">
        <w:tc>
          <w:tcPr>
            <w:tcW w:w="2070" w:type="dxa"/>
          </w:tcPr>
          <w:p w:rsidR="00523C13" w:rsidRDefault="000D7A76" w:rsidP="0045607B">
            <w:pPr>
              <w:pStyle w:val="NoSpacing"/>
              <w:rPr>
                <w:rFonts w:asciiTheme="majorHAnsi" w:hAnsiTheme="majorHAnsi"/>
                <w:b/>
                <w:sz w:val="24"/>
                <w:u w:val="single"/>
              </w:rPr>
            </w:pPr>
            <w:r w:rsidRPr="00D61BFF">
              <w:rPr>
                <w:rFonts w:asciiTheme="majorHAnsi" w:hAnsiTheme="majorHAnsi"/>
              </w:rPr>
              <w:t>February 2013</w:t>
            </w:r>
          </w:p>
        </w:tc>
        <w:tc>
          <w:tcPr>
            <w:tcW w:w="8838" w:type="dxa"/>
          </w:tcPr>
          <w:p w:rsidR="00523C13" w:rsidRDefault="000D7A76" w:rsidP="00D61BFF">
            <w:pPr>
              <w:pStyle w:val="NoSpacing"/>
              <w:rPr>
                <w:rFonts w:asciiTheme="majorHAnsi" w:hAnsiTheme="majorHAnsi"/>
                <w:b/>
                <w:sz w:val="24"/>
                <w:u w:val="single"/>
              </w:rPr>
            </w:pPr>
            <w:r w:rsidRPr="00D61BFF">
              <w:rPr>
                <w:rFonts w:asciiTheme="majorHAnsi" w:hAnsiTheme="majorHAnsi"/>
              </w:rPr>
              <w:t>Revised RHP Plan submitted to HHSC in response to HHSC feedback</w:t>
            </w:r>
          </w:p>
        </w:tc>
      </w:tr>
      <w:tr w:rsidR="00523C13" w:rsidTr="0045607B">
        <w:tc>
          <w:tcPr>
            <w:tcW w:w="2070" w:type="dxa"/>
          </w:tcPr>
          <w:p w:rsidR="00523C13" w:rsidRDefault="000D7A76" w:rsidP="0045607B">
            <w:pPr>
              <w:pStyle w:val="NoSpacing"/>
              <w:rPr>
                <w:rFonts w:asciiTheme="majorHAnsi" w:hAnsiTheme="majorHAnsi"/>
                <w:b/>
                <w:sz w:val="24"/>
                <w:u w:val="single"/>
              </w:rPr>
            </w:pPr>
            <w:r w:rsidRPr="00D61BFF">
              <w:rPr>
                <w:rFonts w:asciiTheme="majorHAnsi" w:hAnsiTheme="majorHAnsi"/>
              </w:rPr>
              <w:t>April 2013</w:t>
            </w:r>
          </w:p>
        </w:tc>
        <w:tc>
          <w:tcPr>
            <w:tcW w:w="8838" w:type="dxa"/>
          </w:tcPr>
          <w:p w:rsidR="00523C13" w:rsidRDefault="000D7A76" w:rsidP="00D61BFF">
            <w:pPr>
              <w:pStyle w:val="NoSpacing"/>
              <w:rPr>
                <w:rFonts w:asciiTheme="majorHAnsi" w:hAnsiTheme="majorHAnsi"/>
                <w:b/>
                <w:sz w:val="24"/>
                <w:u w:val="single"/>
              </w:rPr>
            </w:pPr>
            <w:r w:rsidRPr="00D61BFF">
              <w:rPr>
                <w:rFonts w:asciiTheme="majorHAnsi" w:hAnsiTheme="majorHAnsi"/>
              </w:rPr>
              <w:t>RHP 8 received initial findings from CMS</w:t>
            </w:r>
          </w:p>
        </w:tc>
      </w:tr>
      <w:tr w:rsidR="00523C13" w:rsidTr="0045607B">
        <w:tc>
          <w:tcPr>
            <w:tcW w:w="2070" w:type="dxa"/>
          </w:tcPr>
          <w:p w:rsidR="00523C13" w:rsidRDefault="000D7A76" w:rsidP="0045607B">
            <w:pPr>
              <w:pStyle w:val="NoSpacing"/>
              <w:rPr>
                <w:rFonts w:asciiTheme="majorHAnsi" w:hAnsiTheme="majorHAnsi"/>
                <w:b/>
                <w:sz w:val="24"/>
                <w:u w:val="single"/>
              </w:rPr>
            </w:pPr>
            <w:r w:rsidRPr="00D61BFF">
              <w:rPr>
                <w:rFonts w:asciiTheme="majorHAnsi" w:hAnsiTheme="majorHAnsi"/>
              </w:rPr>
              <w:t>July 2013</w:t>
            </w:r>
          </w:p>
        </w:tc>
        <w:tc>
          <w:tcPr>
            <w:tcW w:w="8838" w:type="dxa"/>
          </w:tcPr>
          <w:p w:rsidR="00523C13" w:rsidRDefault="000D7A76" w:rsidP="00D61BFF">
            <w:pPr>
              <w:pStyle w:val="NoSpacing"/>
              <w:rPr>
                <w:rFonts w:asciiTheme="majorHAnsi" w:hAnsiTheme="majorHAnsi"/>
                <w:b/>
                <w:sz w:val="24"/>
                <w:u w:val="single"/>
              </w:rPr>
            </w:pPr>
            <w:r w:rsidRPr="00D61BFF">
              <w:rPr>
                <w:rFonts w:asciiTheme="majorHAnsi" w:hAnsiTheme="majorHAnsi"/>
              </w:rPr>
              <w:t>Providers corrected/confirmed DY2 milestones for October (“Phase 3A”)</w:t>
            </w:r>
          </w:p>
        </w:tc>
      </w:tr>
      <w:tr w:rsidR="00523C13" w:rsidTr="0045607B">
        <w:tc>
          <w:tcPr>
            <w:tcW w:w="2070" w:type="dxa"/>
          </w:tcPr>
          <w:p w:rsidR="00523C13" w:rsidRDefault="000D7A76" w:rsidP="0045607B">
            <w:pPr>
              <w:pStyle w:val="NoSpacing"/>
              <w:rPr>
                <w:rFonts w:asciiTheme="majorHAnsi" w:hAnsiTheme="majorHAnsi"/>
                <w:b/>
                <w:sz w:val="24"/>
                <w:u w:val="single"/>
              </w:rPr>
            </w:pPr>
            <w:r w:rsidRPr="00D61BFF">
              <w:rPr>
                <w:rFonts w:asciiTheme="majorHAnsi" w:hAnsiTheme="majorHAnsi"/>
              </w:rPr>
              <w:t>July 2013</w:t>
            </w:r>
          </w:p>
        </w:tc>
        <w:tc>
          <w:tcPr>
            <w:tcW w:w="8838" w:type="dxa"/>
          </w:tcPr>
          <w:p w:rsidR="00523C13" w:rsidRPr="000D7A76" w:rsidRDefault="000D7A76" w:rsidP="00D61BFF">
            <w:pPr>
              <w:pStyle w:val="NoSpacing"/>
              <w:rPr>
                <w:rFonts w:asciiTheme="majorHAnsi" w:hAnsiTheme="majorHAnsi"/>
              </w:rPr>
            </w:pPr>
            <w:r w:rsidRPr="00D61BFF">
              <w:rPr>
                <w:rFonts w:asciiTheme="majorHAnsi" w:hAnsiTheme="majorHAnsi"/>
              </w:rPr>
              <w:t>Providers confirmed/corrected Quantifiable Patient Impact milestones (“Phase 2”)</w:t>
            </w:r>
          </w:p>
        </w:tc>
      </w:tr>
      <w:tr w:rsidR="00523C13" w:rsidTr="0045607B">
        <w:tc>
          <w:tcPr>
            <w:tcW w:w="2070" w:type="dxa"/>
          </w:tcPr>
          <w:p w:rsidR="00523C13" w:rsidRDefault="000D7A76" w:rsidP="0045607B">
            <w:pPr>
              <w:pStyle w:val="NoSpacing"/>
              <w:rPr>
                <w:rFonts w:asciiTheme="majorHAnsi" w:hAnsiTheme="majorHAnsi"/>
                <w:b/>
                <w:sz w:val="24"/>
                <w:u w:val="single"/>
              </w:rPr>
            </w:pPr>
            <w:r w:rsidRPr="00D61BFF">
              <w:rPr>
                <w:rFonts w:asciiTheme="majorHAnsi" w:hAnsiTheme="majorHAnsi"/>
              </w:rPr>
              <w:t>August 2013</w:t>
            </w:r>
          </w:p>
        </w:tc>
        <w:tc>
          <w:tcPr>
            <w:tcW w:w="8838" w:type="dxa"/>
          </w:tcPr>
          <w:p w:rsidR="00523C13" w:rsidRPr="000D7A76" w:rsidRDefault="000D7A76" w:rsidP="00D61BFF">
            <w:pPr>
              <w:pStyle w:val="NoSpacing"/>
              <w:rPr>
                <w:rFonts w:asciiTheme="majorHAnsi" w:hAnsiTheme="majorHAnsi"/>
              </w:rPr>
            </w:pPr>
            <w:r w:rsidRPr="00D61BFF">
              <w:rPr>
                <w:rFonts w:asciiTheme="majorHAnsi" w:hAnsiTheme="majorHAnsi"/>
              </w:rPr>
              <w:t>“Phase 1” project revisions initially approved by CMS (these included projects that had adjustments to value and projects with overlapping milestones)</w:t>
            </w:r>
          </w:p>
        </w:tc>
      </w:tr>
      <w:tr w:rsidR="000D7A76" w:rsidTr="0045607B">
        <w:tc>
          <w:tcPr>
            <w:tcW w:w="2070" w:type="dxa"/>
          </w:tcPr>
          <w:p w:rsidR="000D7A76" w:rsidRPr="00D61BFF" w:rsidRDefault="000D7A76" w:rsidP="0045607B">
            <w:pPr>
              <w:pStyle w:val="NoSpacing"/>
              <w:rPr>
                <w:rFonts w:asciiTheme="majorHAnsi" w:hAnsiTheme="majorHAnsi"/>
              </w:rPr>
            </w:pPr>
            <w:r w:rsidRPr="00D61BFF">
              <w:rPr>
                <w:rFonts w:asciiTheme="majorHAnsi" w:hAnsiTheme="majorHAnsi"/>
              </w:rPr>
              <w:t>September 2013</w:t>
            </w:r>
          </w:p>
        </w:tc>
        <w:tc>
          <w:tcPr>
            <w:tcW w:w="8838" w:type="dxa"/>
          </w:tcPr>
          <w:p w:rsidR="000D7A76" w:rsidRPr="00D61BFF" w:rsidRDefault="000D7A76" w:rsidP="000D7A76">
            <w:pPr>
              <w:pStyle w:val="NoSpacing"/>
              <w:rPr>
                <w:rFonts w:asciiTheme="majorHAnsi" w:hAnsiTheme="majorHAnsi"/>
              </w:rPr>
            </w:pPr>
            <w:r w:rsidRPr="00D61BFF">
              <w:rPr>
                <w:rFonts w:asciiTheme="majorHAnsi" w:hAnsiTheme="majorHAnsi"/>
              </w:rPr>
              <w:t>Providers corrected/confirmed DY2 milestones for October (“Phase 3B”)</w:t>
            </w:r>
          </w:p>
        </w:tc>
      </w:tr>
      <w:tr w:rsidR="000D7A76" w:rsidTr="0045607B">
        <w:tc>
          <w:tcPr>
            <w:tcW w:w="2070" w:type="dxa"/>
          </w:tcPr>
          <w:p w:rsidR="000D7A76" w:rsidRPr="00D61BFF" w:rsidRDefault="000D7A76" w:rsidP="0045607B">
            <w:pPr>
              <w:pStyle w:val="NoSpacing"/>
              <w:rPr>
                <w:rFonts w:asciiTheme="majorHAnsi" w:hAnsiTheme="majorHAnsi"/>
              </w:rPr>
            </w:pPr>
            <w:r w:rsidRPr="00D61BFF">
              <w:rPr>
                <w:rFonts w:asciiTheme="majorHAnsi" w:hAnsiTheme="majorHAnsi"/>
              </w:rPr>
              <w:t>December 2013</w:t>
            </w:r>
          </w:p>
        </w:tc>
        <w:tc>
          <w:tcPr>
            <w:tcW w:w="8838" w:type="dxa"/>
          </w:tcPr>
          <w:p w:rsidR="000D7A76" w:rsidRPr="00D61BFF" w:rsidRDefault="000D7A76" w:rsidP="000D7A76">
            <w:pPr>
              <w:pStyle w:val="NoSpacing"/>
              <w:rPr>
                <w:rFonts w:asciiTheme="majorHAnsi" w:hAnsiTheme="majorHAnsi"/>
              </w:rPr>
            </w:pPr>
            <w:r w:rsidRPr="00D61BFF">
              <w:rPr>
                <w:rFonts w:asciiTheme="majorHAnsi" w:hAnsiTheme="majorHAnsi"/>
              </w:rPr>
              <w:t>Providers submitted technical corrections (“Phase 4”) and DY3-5 plan modifications</w:t>
            </w:r>
          </w:p>
        </w:tc>
      </w:tr>
      <w:tr w:rsidR="000D7A76" w:rsidTr="0045607B">
        <w:tc>
          <w:tcPr>
            <w:tcW w:w="2070" w:type="dxa"/>
          </w:tcPr>
          <w:p w:rsidR="000D7A76" w:rsidRPr="00D61BFF" w:rsidRDefault="000D7A76" w:rsidP="0045607B">
            <w:pPr>
              <w:pStyle w:val="NoSpacing"/>
              <w:rPr>
                <w:rFonts w:asciiTheme="majorHAnsi" w:hAnsiTheme="majorHAnsi"/>
              </w:rPr>
            </w:pPr>
            <w:r w:rsidRPr="00D61BFF">
              <w:rPr>
                <w:rFonts w:asciiTheme="majorHAnsi" w:hAnsiTheme="majorHAnsi"/>
              </w:rPr>
              <w:t>December 2013</w:t>
            </w:r>
          </w:p>
        </w:tc>
        <w:tc>
          <w:tcPr>
            <w:tcW w:w="8838" w:type="dxa"/>
          </w:tcPr>
          <w:p w:rsidR="000D7A76" w:rsidRPr="00D61BFF" w:rsidRDefault="000D7A76" w:rsidP="000D7A76">
            <w:pPr>
              <w:pStyle w:val="NoSpacing"/>
              <w:rPr>
                <w:rFonts w:asciiTheme="majorHAnsi" w:hAnsiTheme="majorHAnsi"/>
              </w:rPr>
            </w:pPr>
            <w:r w:rsidRPr="00D61BFF">
              <w:rPr>
                <w:rFonts w:asciiTheme="majorHAnsi" w:hAnsiTheme="majorHAnsi"/>
              </w:rPr>
              <w:t>RHP Plan amendment submitted with newly proposed three-year projects</w:t>
            </w:r>
          </w:p>
        </w:tc>
      </w:tr>
      <w:tr w:rsidR="000D7A76" w:rsidTr="0045607B">
        <w:tc>
          <w:tcPr>
            <w:tcW w:w="2070" w:type="dxa"/>
          </w:tcPr>
          <w:p w:rsidR="000D7A76" w:rsidRPr="00D61BFF" w:rsidRDefault="000D7A76" w:rsidP="0045607B">
            <w:pPr>
              <w:pStyle w:val="NoSpacing"/>
              <w:rPr>
                <w:rFonts w:asciiTheme="majorHAnsi" w:hAnsiTheme="majorHAnsi"/>
              </w:rPr>
            </w:pPr>
            <w:r w:rsidRPr="00D61BFF">
              <w:rPr>
                <w:rFonts w:asciiTheme="majorHAnsi" w:hAnsiTheme="majorHAnsi"/>
              </w:rPr>
              <w:t>March 2014</w:t>
            </w:r>
          </w:p>
        </w:tc>
        <w:tc>
          <w:tcPr>
            <w:tcW w:w="8838" w:type="dxa"/>
          </w:tcPr>
          <w:p w:rsidR="000D7A76" w:rsidRPr="00D61BFF" w:rsidRDefault="000D7A76" w:rsidP="000D7A76">
            <w:pPr>
              <w:pStyle w:val="NoSpacing"/>
              <w:rPr>
                <w:rFonts w:asciiTheme="majorHAnsi" w:hAnsiTheme="majorHAnsi"/>
              </w:rPr>
            </w:pPr>
            <w:r w:rsidRPr="00D61BFF">
              <w:rPr>
                <w:rFonts w:asciiTheme="majorHAnsi" w:hAnsiTheme="majorHAnsi"/>
              </w:rPr>
              <w:t>Providers submitted new/revised Category 3 milestones</w:t>
            </w:r>
          </w:p>
        </w:tc>
      </w:tr>
      <w:tr w:rsidR="000D7A76" w:rsidTr="0045607B">
        <w:tc>
          <w:tcPr>
            <w:tcW w:w="2070" w:type="dxa"/>
          </w:tcPr>
          <w:p w:rsidR="000D7A76" w:rsidRPr="00D61BFF" w:rsidRDefault="000D7A76" w:rsidP="0045607B">
            <w:pPr>
              <w:pStyle w:val="NoSpacing"/>
              <w:rPr>
                <w:rFonts w:asciiTheme="majorHAnsi" w:hAnsiTheme="majorHAnsi"/>
              </w:rPr>
            </w:pPr>
            <w:r>
              <w:rPr>
                <w:rFonts w:asciiTheme="majorHAnsi" w:hAnsiTheme="majorHAnsi"/>
              </w:rPr>
              <w:t>August 2014</w:t>
            </w:r>
          </w:p>
        </w:tc>
        <w:tc>
          <w:tcPr>
            <w:tcW w:w="8838" w:type="dxa"/>
          </w:tcPr>
          <w:p w:rsidR="000D7A76" w:rsidRPr="00D61BFF" w:rsidRDefault="000D7A76" w:rsidP="000D7A76">
            <w:pPr>
              <w:pStyle w:val="NoSpacing"/>
              <w:rPr>
                <w:rFonts w:asciiTheme="majorHAnsi" w:hAnsiTheme="majorHAnsi"/>
              </w:rPr>
            </w:pPr>
            <w:r>
              <w:rPr>
                <w:rFonts w:asciiTheme="majorHAnsi" w:hAnsiTheme="majorHAnsi"/>
              </w:rPr>
              <w:t>Providers submitted DY4/DY5 change requests (plan modifications and/or technical corrections)</w:t>
            </w:r>
          </w:p>
        </w:tc>
      </w:tr>
      <w:tr w:rsidR="000D7A76" w:rsidTr="0045607B">
        <w:tc>
          <w:tcPr>
            <w:tcW w:w="2070" w:type="dxa"/>
          </w:tcPr>
          <w:p w:rsidR="000D7A76" w:rsidRDefault="000D7A76" w:rsidP="0045607B">
            <w:pPr>
              <w:pStyle w:val="NoSpacing"/>
              <w:rPr>
                <w:rFonts w:asciiTheme="majorHAnsi" w:hAnsiTheme="majorHAnsi"/>
              </w:rPr>
            </w:pPr>
            <w:r>
              <w:rPr>
                <w:rFonts w:asciiTheme="majorHAnsi" w:hAnsiTheme="majorHAnsi"/>
              </w:rPr>
              <w:t>August 2014</w:t>
            </w:r>
          </w:p>
        </w:tc>
        <w:tc>
          <w:tcPr>
            <w:tcW w:w="8838" w:type="dxa"/>
          </w:tcPr>
          <w:p w:rsidR="000D7A76" w:rsidRDefault="000D7A76" w:rsidP="000D7A76">
            <w:pPr>
              <w:pStyle w:val="NoSpacing"/>
              <w:rPr>
                <w:rFonts w:asciiTheme="majorHAnsi" w:hAnsiTheme="majorHAnsi"/>
              </w:rPr>
            </w:pPr>
            <w:r>
              <w:rPr>
                <w:rFonts w:asciiTheme="majorHAnsi" w:hAnsiTheme="majorHAnsi"/>
              </w:rPr>
              <w:t>Providers submitted Category 3 feedback as requested to HHSC</w:t>
            </w:r>
          </w:p>
        </w:tc>
      </w:tr>
    </w:tbl>
    <w:p w:rsidR="007A41B6" w:rsidRPr="00D61BFF" w:rsidRDefault="00D61BFF" w:rsidP="000D7A76">
      <w:pPr>
        <w:pStyle w:val="NoSpacing"/>
        <w:rPr>
          <w:rFonts w:asciiTheme="majorHAnsi" w:hAnsiTheme="majorHAnsi"/>
        </w:rPr>
      </w:pPr>
      <w:r>
        <w:rPr>
          <w:rFonts w:asciiTheme="majorHAnsi" w:hAnsiTheme="majorHAnsi"/>
        </w:rPr>
        <w:tab/>
      </w:r>
    </w:p>
    <w:p w:rsidR="00697C85" w:rsidRPr="00D61BFF" w:rsidRDefault="00697C85" w:rsidP="00D61BFF">
      <w:pPr>
        <w:pStyle w:val="NoSpacing"/>
        <w:rPr>
          <w:rFonts w:asciiTheme="majorHAnsi" w:hAnsiTheme="majorHAnsi"/>
          <w:b/>
          <w:sz w:val="24"/>
          <w:u w:val="single"/>
        </w:rPr>
      </w:pPr>
      <w:r w:rsidRPr="00D61BFF">
        <w:rPr>
          <w:rFonts w:asciiTheme="majorHAnsi" w:hAnsiTheme="majorHAnsi"/>
          <w:b/>
          <w:sz w:val="24"/>
          <w:u w:val="single"/>
        </w:rPr>
        <w:t xml:space="preserve">How was the </w:t>
      </w:r>
      <w:r w:rsidR="00D61BFF">
        <w:rPr>
          <w:rFonts w:asciiTheme="majorHAnsi" w:hAnsiTheme="majorHAnsi"/>
          <w:b/>
          <w:sz w:val="24"/>
          <w:u w:val="single"/>
        </w:rPr>
        <w:t>C</w:t>
      </w:r>
      <w:r w:rsidRPr="00D61BFF">
        <w:rPr>
          <w:rFonts w:asciiTheme="majorHAnsi" w:hAnsiTheme="majorHAnsi"/>
          <w:b/>
          <w:sz w:val="24"/>
          <w:u w:val="single"/>
        </w:rPr>
        <w:t xml:space="preserve">ommunity </w:t>
      </w:r>
      <w:r w:rsidR="00D61BFF">
        <w:rPr>
          <w:rFonts w:asciiTheme="majorHAnsi" w:hAnsiTheme="majorHAnsi"/>
          <w:b/>
          <w:sz w:val="24"/>
          <w:u w:val="single"/>
        </w:rPr>
        <w:t>E</w:t>
      </w:r>
      <w:r w:rsidRPr="00D61BFF">
        <w:rPr>
          <w:rFonts w:asciiTheme="majorHAnsi" w:hAnsiTheme="majorHAnsi"/>
          <w:b/>
          <w:sz w:val="24"/>
          <w:u w:val="single"/>
        </w:rPr>
        <w:t xml:space="preserve">ngaged in the </w:t>
      </w:r>
      <w:r w:rsidR="00D61BFF">
        <w:rPr>
          <w:rFonts w:asciiTheme="majorHAnsi" w:hAnsiTheme="majorHAnsi"/>
          <w:b/>
          <w:sz w:val="24"/>
          <w:u w:val="single"/>
        </w:rPr>
        <w:t>D</w:t>
      </w:r>
      <w:r w:rsidRPr="00D61BFF">
        <w:rPr>
          <w:rFonts w:asciiTheme="majorHAnsi" w:hAnsiTheme="majorHAnsi"/>
          <w:b/>
          <w:sz w:val="24"/>
          <w:u w:val="single"/>
        </w:rPr>
        <w:t xml:space="preserve">evelopment of the RHP </w:t>
      </w:r>
      <w:r w:rsidR="00D61BFF">
        <w:rPr>
          <w:rFonts w:asciiTheme="majorHAnsi" w:hAnsiTheme="majorHAnsi"/>
          <w:b/>
          <w:sz w:val="24"/>
          <w:u w:val="single"/>
        </w:rPr>
        <w:t xml:space="preserve">8 </w:t>
      </w:r>
      <w:r w:rsidRPr="00D61BFF">
        <w:rPr>
          <w:rFonts w:asciiTheme="majorHAnsi" w:hAnsiTheme="majorHAnsi"/>
          <w:b/>
          <w:sz w:val="24"/>
          <w:u w:val="single"/>
        </w:rPr>
        <w:t>Plan?</w:t>
      </w:r>
    </w:p>
    <w:p w:rsidR="00697C85" w:rsidRPr="00D61BFF" w:rsidRDefault="00A34B1E" w:rsidP="0045607B">
      <w:pPr>
        <w:pStyle w:val="NoSpacing"/>
        <w:jc w:val="both"/>
        <w:rPr>
          <w:rFonts w:asciiTheme="majorHAnsi" w:hAnsiTheme="majorHAnsi"/>
        </w:rPr>
      </w:pPr>
      <w:r w:rsidRPr="00D61BFF">
        <w:rPr>
          <w:rFonts w:asciiTheme="majorHAnsi" w:hAnsiTheme="majorHAnsi"/>
        </w:rPr>
        <w:t xml:space="preserve">RHP 8 has </w:t>
      </w:r>
      <w:r w:rsidR="0045607B">
        <w:rPr>
          <w:rFonts w:asciiTheme="majorHAnsi" w:hAnsiTheme="majorHAnsi"/>
        </w:rPr>
        <w:t>stimulated</w:t>
      </w:r>
      <w:r w:rsidRPr="00D61BFF">
        <w:rPr>
          <w:rFonts w:asciiTheme="majorHAnsi" w:hAnsiTheme="majorHAnsi"/>
        </w:rPr>
        <w:t xml:space="preserve"> broad stakeholder engagement from the beginning of the process through the rapid dissemination of information, use of a variety of media for communication, and through public meetings. As new information became available from HHSC, the </w:t>
      </w:r>
      <w:r w:rsidR="0045607B">
        <w:rPr>
          <w:rFonts w:asciiTheme="majorHAnsi" w:hAnsiTheme="majorHAnsi"/>
        </w:rPr>
        <w:t xml:space="preserve">RHP 8 </w:t>
      </w:r>
      <w:r w:rsidRPr="00D61BFF">
        <w:rPr>
          <w:rFonts w:asciiTheme="majorHAnsi" w:hAnsiTheme="majorHAnsi"/>
        </w:rPr>
        <w:t xml:space="preserve">Anchor team focused on interpreting those materials and putting accessible, meaningful information in the hands of stakeholders in </w:t>
      </w:r>
      <w:r w:rsidR="0045607B">
        <w:rPr>
          <w:rFonts w:asciiTheme="majorHAnsi" w:hAnsiTheme="majorHAnsi"/>
        </w:rPr>
        <w:t>the</w:t>
      </w:r>
      <w:r w:rsidRPr="00D61BFF">
        <w:rPr>
          <w:rFonts w:asciiTheme="majorHAnsi" w:hAnsiTheme="majorHAnsi"/>
        </w:rPr>
        <w:t xml:space="preserve"> region as quickly as possible</w:t>
      </w:r>
      <w:r w:rsidR="00D61BFF">
        <w:rPr>
          <w:rFonts w:asciiTheme="majorHAnsi" w:hAnsiTheme="majorHAnsi"/>
        </w:rPr>
        <w:t>.</w:t>
      </w:r>
      <w:r w:rsidRPr="00D61BFF">
        <w:rPr>
          <w:rFonts w:asciiTheme="majorHAnsi" w:hAnsiTheme="majorHAnsi"/>
        </w:rPr>
        <w:t xml:space="preserve"> </w:t>
      </w:r>
      <w:r w:rsidR="0045607B">
        <w:rPr>
          <w:rFonts w:asciiTheme="majorHAnsi" w:hAnsiTheme="majorHAnsi"/>
        </w:rPr>
        <w:t xml:space="preserve"> </w:t>
      </w:r>
      <w:r w:rsidRPr="00D61BFF">
        <w:rPr>
          <w:rFonts w:asciiTheme="majorHAnsi" w:hAnsiTheme="majorHAnsi"/>
        </w:rPr>
        <w:t xml:space="preserve">To reach as many people as possible, RHP 8 established </w:t>
      </w:r>
      <w:r w:rsidR="00FC5E39">
        <w:rPr>
          <w:rFonts w:asciiTheme="majorHAnsi" w:hAnsiTheme="majorHAnsi"/>
        </w:rPr>
        <w:t xml:space="preserve">the </w:t>
      </w:r>
      <w:hyperlink r:id="rId11" w:history="1">
        <w:r w:rsidR="00FC5E39" w:rsidRPr="00111AB2">
          <w:rPr>
            <w:rStyle w:val="Hyperlink"/>
            <w:rFonts w:asciiTheme="majorHAnsi" w:hAnsiTheme="majorHAnsi"/>
          </w:rPr>
          <w:t>RHP 8 Website</w:t>
        </w:r>
      </w:hyperlink>
      <w:r w:rsidRPr="00D61BFF">
        <w:rPr>
          <w:rFonts w:asciiTheme="majorHAnsi" w:hAnsiTheme="majorHAnsi"/>
        </w:rPr>
        <w:t xml:space="preserve"> in May 2</w:t>
      </w:r>
      <w:r w:rsidR="00D61BFF">
        <w:rPr>
          <w:rFonts w:asciiTheme="majorHAnsi" w:hAnsiTheme="majorHAnsi"/>
        </w:rPr>
        <w:t>012</w:t>
      </w:r>
      <w:r w:rsidR="0045607B">
        <w:rPr>
          <w:rFonts w:asciiTheme="majorHAnsi" w:hAnsiTheme="majorHAnsi"/>
        </w:rPr>
        <w:t>. It i</w:t>
      </w:r>
      <w:r w:rsidR="00D61BFF">
        <w:rPr>
          <w:rFonts w:asciiTheme="majorHAnsi" w:hAnsiTheme="majorHAnsi"/>
        </w:rPr>
        <w:t xml:space="preserve">s updated frequently </w:t>
      </w:r>
      <w:r w:rsidR="0045607B">
        <w:rPr>
          <w:rFonts w:asciiTheme="majorHAnsi" w:hAnsiTheme="majorHAnsi"/>
        </w:rPr>
        <w:t xml:space="preserve">with information. </w:t>
      </w:r>
      <w:r w:rsidR="00FC5E39">
        <w:rPr>
          <w:rFonts w:asciiTheme="majorHAnsi" w:hAnsiTheme="majorHAnsi"/>
        </w:rPr>
        <w:t>Additionally</w:t>
      </w:r>
      <w:r w:rsidRPr="00D61BFF">
        <w:rPr>
          <w:rFonts w:asciiTheme="majorHAnsi" w:hAnsiTheme="majorHAnsi"/>
        </w:rPr>
        <w:t xml:space="preserve">, throughout both the initial </w:t>
      </w:r>
      <w:r w:rsidR="00FC5E39">
        <w:rPr>
          <w:rFonts w:asciiTheme="majorHAnsi" w:hAnsiTheme="majorHAnsi"/>
        </w:rPr>
        <w:t xml:space="preserve">four-year and later </w:t>
      </w:r>
      <w:r w:rsidRPr="00D61BFF">
        <w:rPr>
          <w:rFonts w:asciiTheme="majorHAnsi" w:hAnsiTheme="majorHAnsi"/>
        </w:rPr>
        <w:t>three-year project planning processes, RHP 8 has met in public meetings (face-to</w:t>
      </w:r>
      <w:r w:rsidR="0045607B">
        <w:rPr>
          <w:rFonts w:asciiTheme="majorHAnsi" w:hAnsiTheme="majorHAnsi"/>
        </w:rPr>
        <w:t>-face and via conference call).</w:t>
      </w:r>
    </w:p>
    <w:p w:rsidR="00B53B56" w:rsidRDefault="00B53B56" w:rsidP="00D61BFF">
      <w:pPr>
        <w:pStyle w:val="NoSpacing"/>
        <w:rPr>
          <w:rFonts w:asciiTheme="majorHAnsi" w:hAnsiTheme="majorHAnsi"/>
          <w:b/>
          <w:sz w:val="24"/>
          <w:u w:val="single"/>
        </w:rPr>
      </w:pPr>
    </w:p>
    <w:p w:rsidR="0045607B" w:rsidRPr="0045607B" w:rsidRDefault="00955105" w:rsidP="00D61BFF">
      <w:pPr>
        <w:pStyle w:val="NoSpacing"/>
        <w:rPr>
          <w:rFonts w:asciiTheme="majorHAnsi" w:hAnsiTheme="majorHAnsi"/>
          <w:b/>
          <w:sz w:val="24"/>
          <w:u w:val="single"/>
        </w:rPr>
      </w:pPr>
      <w:r w:rsidRPr="00D61BFF">
        <w:rPr>
          <w:rFonts w:asciiTheme="majorHAnsi" w:hAnsiTheme="majorHAnsi"/>
          <w:b/>
          <w:sz w:val="24"/>
          <w:u w:val="single"/>
        </w:rPr>
        <w:t xml:space="preserve">When were </w:t>
      </w:r>
      <w:r w:rsidR="00D61BFF">
        <w:rPr>
          <w:rFonts w:asciiTheme="majorHAnsi" w:hAnsiTheme="majorHAnsi"/>
          <w:b/>
          <w:sz w:val="24"/>
          <w:u w:val="single"/>
        </w:rPr>
        <w:t>Milestones R</w:t>
      </w:r>
      <w:r w:rsidRPr="00D61BFF">
        <w:rPr>
          <w:rFonts w:asciiTheme="majorHAnsi" w:hAnsiTheme="majorHAnsi"/>
          <w:b/>
          <w:sz w:val="24"/>
          <w:u w:val="single"/>
        </w:rPr>
        <w:t>eporte</w:t>
      </w:r>
      <w:r w:rsidR="00D61BFF">
        <w:rPr>
          <w:rFonts w:asciiTheme="majorHAnsi" w:hAnsiTheme="majorHAnsi"/>
          <w:b/>
          <w:sz w:val="24"/>
          <w:u w:val="single"/>
        </w:rPr>
        <w:t>d and Funds R</w:t>
      </w:r>
      <w:r w:rsidRPr="00D61BFF">
        <w:rPr>
          <w:rFonts w:asciiTheme="majorHAnsi" w:hAnsiTheme="majorHAnsi"/>
          <w:b/>
          <w:sz w:val="24"/>
          <w:u w:val="single"/>
        </w:rPr>
        <w:t>eceived?</w:t>
      </w:r>
    </w:p>
    <w:tbl>
      <w:tblPr>
        <w:tblStyle w:val="TableGrid"/>
        <w:tblW w:w="0" w:type="auto"/>
        <w:tblInd w:w="108" w:type="dxa"/>
        <w:tblLook w:val="04A0" w:firstRow="1" w:lastRow="0" w:firstColumn="1" w:lastColumn="0" w:noHBand="0" w:noVBand="1"/>
      </w:tblPr>
      <w:tblGrid>
        <w:gridCol w:w="2070"/>
        <w:gridCol w:w="8838"/>
      </w:tblGrid>
      <w:tr w:rsidR="000D7A76" w:rsidRPr="00523C13" w:rsidTr="0045607B">
        <w:tc>
          <w:tcPr>
            <w:tcW w:w="2070" w:type="dxa"/>
          </w:tcPr>
          <w:p w:rsidR="000D7A76" w:rsidRPr="00E750FD" w:rsidRDefault="000D7A76" w:rsidP="00350FAE">
            <w:pPr>
              <w:pStyle w:val="NoSpacing"/>
              <w:jc w:val="center"/>
              <w:rPr>
                <w:rFonts w:asciiTheme="majorHAnsi" w:hAnsiTheme="majorHAnsi"/>
                <w:b/>
              </w:rPr>
            </w:pPr>
            <w:r w:rsidRPr="00E750FD">
              <w:rPr>
                <w:rFonts w:asciiTheme="majorHAnsi" w:hAnsiTheme="majorHAnsi"/>
                <w:b/>
              </w:rPr>
              <w:t>Date</w:t>
            </w:r>
          </w:p>
        </w:tc>
        <w:tc>
          <w:tcPr>
            <w:tcW w:w="8838" w:type="dxa"/>
          </w:tcPr>
          <w:p w:rsidR="000D7A76" w:rsidRPr="00E750FD" w:rsidRDefault="000D7A76" w:rsidP="00350FAE">
            <w:pPr>
              <w:pStyle w:val="NoSpacing"/>
              <w:jc w:val="center"/>
              <w:rPr>
                <w:rFonts w:asciiTheme="majorHAnsi" w:hAnsiTheme="majorHAnsi"/>
                <w:b/>
              </w:rPr>
            </w:pPr>
            <w:r w:rsidRPr="00E750FD">
              <w:rPr>
                <w:rFonts w:asciiTheme="majorHAnsi" w:hAnsiTheme="majorHAnsi"/>
                <w:b/>
              </w:rPr>
              <w:t>Activity</w:t>
            </w:r>
          </w:p>
        </w:tc>
      </w:tr>
      <w:tr w:rsidR="000D7A76" w:rsidTr="0045607B">
        <w:tc>
          <w:tcPr>
            <w:tcW w:w="2070" w:type="dxa"/>
          </w:tcPr>
          <w:p w:rsidR="000D7A76" w:rsidRDefault="000D7A76" w:rsidP="0045607B">
            <w:pPr>
              <w:pStyle w:val="NoSpacing"/>
              <w:rPr>
                <w:rFonts w:asciiTheme="majorHAnsi" w:hAnsiTheme="majorHAnsi"/>
                <w:b/>
                <w:sz w:val="24"/>
                <w:u w:val="single"/>
              </w:rPr>
            </w:pPr>
            <w:r w:rsidRPr="00D61BFF">
              <w:rPr>
                <w:rFonts w:asciiTheme="majorHAnsi" w:hAnsiTheme="majorHAnsi"/>
              </w:rPr>
              <w:t>August 31, 2013</w:t>
            </w:r>
          </w:p>
        </w:tc>
        <w:tc>
          <w:tcPr>
            <w:tcW w:w="8838" w:type="dxa"/>
          </w:tcPr>
          <w:p w:rsidR="000D7A76" w:rsidRDefault="000D7A76" w:rsidP="00350FAE">
            <w:pPr>
              <w:pStyle w:val="NoSpacing"/>
              <w:rPr>
                <w:rFonts w:asciiTheme="majorHAnsi" w:hAnsiTheme="majorHAnsi"/>
                <w:b/>
                <w:sz w:val="24"/>
                <w:u w:val="single"/>
              </w:rPr>
            </w:pPr>
            <w:r w:rsidRPr="00D61BFF">
              <w:rPr>
                <w:rFonts w:asciiTheme="majorHAnsi" w:hAnsiTheme="majorHAnsi"/>
              </w:rPr>
              <w:t>First reporting</w:t>
            </w:r>
            <w:r w:rsidR="00721B2F">
              <w:rPr>
                <w:rFonts w:asciiTheme="majorHAnsi" w:hAnsiTheme="majorHAnsi"/>
              </w:rPr>
              <w:t xml:space="preserve"> opportunity for DY</w:t>
            </w:r>
            <w:r w:rsidRPr="00D61BFF">
              <w:rPr>
                <w:rFonts w:asciiTheme="majorHAnsi" w:hAnsiTheme="majorHAnsi"/>
              </w:rPr>
              <w:t>2 milestones</w:t>
            </w:r>
          </w:p>
        </w:tc>
      </w:tr>
      <w:tr w:rsidR="000D7A76" w:rsidTr="0045607B">
        <w:tc>
          <w:tcPr>
            <w:tcW w:w="2070" w:type="dxa"/>
          </w:tcPr>
          <w:p w:rsidR="000D7A76" w:rsidRDefault="000D7A76" w:rsidP="0045607B">
            <w:pPr>
              <w:pStyle w:val="NoSpacing"/>
              <w:rPr>
                <w:rFonts w:asciiTheme="majorHAnsi" w:hAnsiTheme="majorHAnsi"/>
                <w:b/>
                <w:sz w:val="24"/>
                <w:u w:val="single"/>
              </w:rPr>
            </w:pPr>
            <w:r w:rsidRPr="00D61BFF">
              <w:rPr>
                <w:rFonts w:asciiTheme="majorHAnsi" w:hAnsiTheme="majorHAnsi"/>
              </w:rPr>
              <w:t>October 28, 2013</w:t>
            </w:r>
          </w:p>
        </w:tc>
        <w:tc>
          <w:tcPr>
            <w:tcW w:w="8838" w:type="dxa"/>
          </w:tcPr>
          <w:p w:rsidR="000D7A76" w:rsidRDefault="000D7A76" w:rsidP="00350FAE">
            <w:pPr>
              <w:pStyle w:val="NoSpacing"/>
              <w:rPr>
                <w:rFonts w:asciiTheme="majorHAnsi" w:hAnsiTheme="majorHAnsi"/>
                <w:b/>
                <w:sz w:val="24"/>
                <w:u w:val="single"/>
              </w:rPr>
            </w:pPr>
            <w:r w:rsidRPr="00D61BFF">
              <w:rPr>
                <w:rFonts w:asciiTheme="majorHAnsi" w:hAnsiTheme="majorHAnsi"/>
              </w:rPr>
              <w:t>DSRIP payments for approved August-reported milestones</w:t>
            </w:r>
          </w:p>
        </w:tc>
      </w:tr>
      <w:tr w:rsidR="000D7A76" w:rsidTr="0045607B">
        <w:tc>
          <w:tcPr>
            <w:tcW w:w="2070" w:type="dxa"/>
          </w:tcPr>
          <w:p w:rsidR="000D7A76" w:rsidRDefault="000D7A76" w:rsidP="0045607B">
            <w:pPr>
              <w:pStyle w:val="NoSpacing"/>
              <w:rPr>
                <w:rFonts w:asciiTheme="majorHAnsi" w:hAnsiTheme="majorHAnsi"/>
                <w:b/>
                <w:sz w:val="24"/>
                <w:u w:val="single"/>
              </w:rPr>
            </w:pPr>
            <w:r w:rsidRPr="00D61BFF">
              <w:rPr>
                <w:rFonts w:asciiTheme="majorHAnsi" w:hAnsiTheme="majorHAnsi"/>
              </w:rPr>
              <w:t>October 31, 2013</w:t>
            </w:r>
          </w:p>
        </w:tc>
        <w:tc>
          <w:tcPr>
            <w:tcW w:w="8838" w:type="dxa"/>
          </w:tcPr>
          <w:p w:rsidR="000D7A76" w:rsidRPr="000D7A76" w:rsidRDefault="000D7A76" w:rsidP="00350FAE">
            <w:pPr>
              <w:pStyle w:val="NoSpacing"/>
              <w:rPr>
                <w:rFonts w:asciiTheme="majorHAnsi" w:hAnsiTheme="majorHAnsi"/>
              </w:rPr>
            </w:pPr>
            <w:r w:rsidRPr="00D61BFF">
              <w:rPr>
                <w:rFonts w:asciiTheme="majorHAnsi" w:hAnsiTheme="majorHAnsi"/>
              </w:rPr>
              <w:t>Second reporting</w:t>
            </w:r>
            <w:r w:rsidR="00721B2F">
              <w:rPr>
                <w:rFonts w:asciiTheme="majorHAnsi" w:hAnsiTheme="majorHAnsi"/>
              </w:rPr>
              <w:t xml:space="preserve"> opportunity for DY</w:t>
            </w:r>
            <w:r w:rsidRPr="00D61BFF">
              <w:rPr>
                <w:rFonts w:asciiTheme="majorHAnsi" w:hAnsiTheme="majorHAnsi"/>
              </w:rPr>
              <w:t>2 milestones</w:t>
            </w:r>
            <w:r w:rsidR="00721B2F">
              <w:rPr>
                <w:rFonts w:asciiTheme="majorHAnsi" w:hAnsiTheme="majorHAnsi"/>
              </w:rPr>
              <w:br/>
              <w:t>S</w:t>
            </w:r>
            <w:r w:rsidRPr="00D61BFF">
              <w:rPr>
                <w:rFonts w:asciiTheme="majorHAnsi" w:hAnsiTheme="majorHAnsi"/>
              </w:rPr>
              <w:t xml:space="preserve">ubmission of additional documentation for August-reported milestones designated by HHSC as </w:t>
            </w:r>
            <w:r w:rsidR="00721B2F">
              <w:rPr>
                <w:rFonts w:asciiTheme="majorHAnsi" w:hAnsiTheme="majorHAnsi"/>
              </w:rPr>
              <w:t>“</w:t>
            </w:r>
            <w:r w:rsidRPr="00D61BFF">
              <w:rPr>
                <w:rFonts w:asciiTheme="majorHAnsi" w:hAnsiTheme="majorHAnsi"/>
              </w:rPr>
              <w:t>needing more information</w:t>
            </w:r>
            <w:r w:rsidR="00721B2F">
              <w:rPr>
                <w:rFonts w:asciiTheme="majorHAnsi" w:hAnsiTheme="majorHAnsi"/>
              </w:rPr>
              <w:t>”</w:t>
            </w:r>
            <w:r w:rsidRPr="00D61BFF">
              <w:rPr>
                <w:rFonts w:asciiTheme="majorHAnsi" w:hAnsiTheme="majorHAnsi"/>
              </w:rPr>
              <w:t xml:space="preserve"> (NMI)</w:t>
            </w:r>
          </w:p>
        </w:tc>
      </w:tr>
      <w:tr w:rsidR="000D7A76" w:rsidTr="0045607B">
        <w:tc>
          <w:tcPr>
            <w:tcW w:w="2070" w:type="dxa"/>
          </w:tcPr>
          <w:p w:rsidR="000D7A76" w:rsidRDefault="000D7A76" w:rsidP="0045607B">
            <w:pPr>
              <w:pStyle w:val="NoSpacing"/>
              <w:rPr>
                <w:rFonts w:asciiTheme="majorHAnsi" w:hAnsiTheme="majorHAnsi"/>
                <w:b/>
                <w:sz w:val="24"/>
                <w:u w:val="single"/>
              </w:rPr>
            </w:pPr>
            <w:r w:rsidRPr="00D61BFF">
              <w:rPr>
                <w:rFonts w:asciiTheme="majorHAnsi" w:hAnsiTheme="majorHAnsi"/>
              </w:rPr>
              <w:t>January 17, 2014</w:t>
            </w:r>
          </w:p>
        </w:tc>
        <w:tc>
          <w:tcPr>
            <w:tcW w:w="8838" w:type="dxa"/>
          </w:tcPr>
          <w:p w:rsidR="000D7A76" w:rsidRPr="000D7A76" w:rsidRDefault="000D7A76" w:rsidP="00721B2F">
            <w:pPr>
              <w:pStyle w:val="NoSpacing"/>
              <w:rPr>
                <w:rFonts w:asciiTheme="majorHAnsi" w:hAnsiTheme="majorHAnsi"/>
              </w:rPr>
            </w:pPr>
            <w:r w:rsidRPr="00D61BFF">
              <w:rPr>
                <w:rFonts w:asciiTheme="majorHAnsi" w:hAnsiTheme="majorHAnsi"/>
              </w:rPr>
              <w:t xml:space="preserve">Submission </w:t>
            </w:r>
            <w:r w:rsidR="00721B2F">
              <w:rPr>
                <w:rFonts w:asciiTheme="majorHAnsi" w:hAnsiTheme="majorHAnsi"/>
              </w:rPr>
              <w:t>due date for</w:t>
            </w:r>
            <w:r w:rsidRPr="00D61BFF">
              <w:rPr>
                <w:rFonts w:asciiTheme="majorHAnsi" w:hAnsiTheme="majorHAnsi"/>
              </w:rPr>
              <w:t xml:space="preserve"> additional documentation for October NMI milestones</w:t>
            </w:r>
          </w:p>
        </w:tc>
      </w:tr>
      <w:tr w:rsidR="000D7A76" w:rsidTr="0045607B">
        <w:tc>
          <w:tcPr>
            <w:tcW w:w="2070" w:type="dxa"/>
          </w:tcPr>
          <w:p w:rsidR="000D7A76" w:rsidRDefault="000D7A76" w:rsidP="0045607B">
            <w:pPr>
              <w:pStyle w:val="NoSpacing"/>
              <w:rPr>
                <w:rFonts w:asciiTheme="majorHAnsi" w:hAnsiTheme="majorHAnsi"/>
                <w:b/>
                <w:sz w:val="24"/>
                <w:u w:val="single"/>
              </w:rPr>
            </w:pPr>
            <w:r w:rsidRPr="00D61BFF">
              <w:rPr>
                <w:rFonts w:asciiTheme="majorHAnsi" w:hAnsiTheme="majorHAnsi"/>
              </w:rPr>
              <w:t xml:space="preserve">January </w:t>
            </w:r>
            <w:r w:rsidR="00721B2F">
              <w:rPr>
                <w:rFonts w:asciiTheme="majorHAnsi" w:hAnsiTheme="majorHAnsi"/>
              </w:rPr>
              <w:t>7</w:t>
            </w:r>
            <w:r w:rsidRPr="00D61BFF">
              <w:rPr>
                <w:rFonts w:asciiTheme="majorHAnsi" w:hAnsiTheme="majorHAnsi"/>
              </w:rPr>
              <w:t>, 2013</w:t>
            </w:r>
          </w:p>
        </w:tc>
        <w:tc>
          <w:tcPr>
            <w:tcW w:w="8838" w:type="dxa"/>
          </w:tcPr>
          <w:p w:rsidR="000D7A76" w:rsidRPr="000D7A76" w:rsidRDefault="000D7A76" w:rsidP="00350FAE">
            <w:pPr>
              <w:pStyle w:val="NoSpacing"/>
              <w:rPr>
                <w:rFonts w:asciiTheme="majorHAnsi" w:hAnsiTheme="majorHAnsi"/>
              </w:rPr>
            </w:pPr>
            <w:r w:rsidRPr="00D61BFF">
              <w:rPr>
                <w:rFonts w:asciiTheme="majorHAnsi" w:hAnsiTheme="majorHAnsi"/>
              </w:rPr>
              <w:t>DSRIP payments for approved October-reported milestones and approved August NMI milestones</w:t>
            </w:r>
          </w:p>
        </w:tc>
      </w:tr>
      <w:tr w:rsidR="000D7A76" w:rsidTr="0045607B">
        <w:tc>
          <w:tcPr>
            <w:tcW w:w="2070" w:type="dxa"/>
          </w:tcPr>
          <w:p w:rsidR="000D7A76" w:rsidRDefault="00721B2F" w:rsidP="0045607B">
            <w:pPr>
              <w:pStyle w:val="NoSpacing"/>
              <w:rPr>
                <w:rFonts w:asciiTheme="majorHAnsi" w:hAnsiTheme="majorHAnsi"/>
                <w:b/>
                <w:sz w:val="24"/>
                <w:u w:val="single"/>
              </w:rPr>
            </w:pPr>
            <w:r>
              <w:rPr>
                <w:rFonts w:asciiTheme="majorHAnsi" w:hAnsiTheme="majorHAnsi"/>
              </w:rPr>
              <w:t>April</w:t>
            </w:r>
            <w:r w:rsidR="000D7A76" w:rsidRPr="00D61BFF">
              <w:rPr>
                <w:rFonts w:asciiTheme="majorHAnsi" w:hAnsiTheme="majorHAnsi"/>
              </w:rPr>
              <w:t xml:space="preserve"> 30, 2014</w:t>
            </w:r>
          </w:p>
        </w:tc>
        <w:tc>
          <w:tcPr>
            <w:tcW w:w="8838" w:type="dxa"/>
          </w:tcPr>
          <w:p w:rsidR="000D7A76" w:rsidRPr="000D7A76" w:rsidRDefault="000D7A76" w:rsidP="000D7A76">
            <w:pPr>
              <w:pStyle w:val="NoSpacing"/>
              <w:rPr>
                <w:rFonts w:asciiTheme="majorHAnsi" w:hAnsiTheme="majorHAnsi"/>
              </w:rPr>
            </w:pPr>
            <w:r w:rsidRPr="00D61BFF">
              <w:rPr>
                <w:rFonts w:asciiTheme="majorHAnsi" w:hAnsiTheme="majorHAnsi"/>
              </w:rPr>
              <w:t>Fir</w:t>
            </w:r>
            <w:r w:rsidR="00721B2F">
              <w:rPr>
                <w:rFonts w:asciiTheme="majorHAnsi" w:hAnsiTheme="majorHAnsi"/>
              </w:rPr>
              <w:t>st reporting opportunity for DY</w:t>
            </w:r>
            <w:r w:rsidRPr="00D61BFF">
              <w:rPr>
                <w:rFonts w:asciiTheme="majorHAnsi" w:hAnsiTheme="majorHAnsi"/>
              </w:rPr>
              <w:t xml:space="preserve">3 milestones and any DY2 </w:t>
            </w:r>
            <w:r w:rsidRPr="000D7A76">
              <w:rPr>
                <w:rFonts w:asciiTheme="majorHAnsi" w:hAnsiTheme="majorHAnsi"/>
              </w:rPr>
              <w:t>milestones that were “carried forward”</w:t>
            </w:r>
          </w:p>
        </w:tc>
      </w:tr>
      <w:tr w:rsidR="00721B2F" w:rsidTr="0045607B">
        <w:tc>
          <w:tcPr>
            <w:tcW w:w="2070" w:type="dxa"/>
          </w:tcPr>
          <w:p w:rsidR="00721B2F" w:rsidRDefault="00721B2F" w:rsidP="0045607B">
            <w:pPr>
              <w:pStyle w:val="NoSpacing"/>
              <w:rPr>
                <w:rFonts w:asciiTheme="majorHAnsi" w:hAnsiTheme="majorHAnsi"/>
              </w:rPr>
            </w:pPr>
            <w:r>
              <w:rPr>
                <w:rFonts w:asciiTheme="majorHAnsi" w:hAnsiTheme="majorHAnsi"/>
              </w:rPr>
              <w:t>July 10, 2014</w:t>
            </w:r>
          </w:p>
        </w:tc>
        <w:tc>
          <w:tcPr>
            <w:tcW w:w="8838" w:type="dxa"/>
          </w:tcPr>
          <w:p w:rsidR="00721B2F" w:rsidRPr="00D61BFF" w:rsidRDefault="00721B2F" w:rsidP="00721B2F">
            <w:pPr>
              <w:pStyle w:val="NoSpacing"/>
              <w:rPr>
                <w:rFonts w:asciiTheme="majorHAnsi" w:hAnsiTheme="majorHAnsi"/>
              </w:rPr>
            </w:pPr>
            <w:r w:rsidRPr="00D61BFF">
              <w:rPr>
                <w:rFonts w:asciiTheme="majorHAnsi" w:hAnsiTheme="majorHAnsi"/>
              </w:rPr>
              <w:t xml:space="preserve">DSRIP payments for approved </w:t>
            </w:r>
            <w:r>
              <w:rPr>
                <w:rFonts w:asciiTheme="majorHAnsi" w:hAnsiTheme="majorHAnsi"/>
              </w:rPr>
              <w:t xml:space="preserve">April-reported </w:t>
            </w:r>
            <w:r w:rsidRPr="00D61BFF">
              <w:rPr>
                <w:rFonts w:asciiTheme="majorHAnsi" w:hAnsiTheme="majorHAnsi"/>
              </w:rPr>
              <w:t>milestones</w:t>
            </w:r>
          </w:p>
        </w:tc>
      </w:tr>
      <w:tr w:rsidR="00721B2F" w:rsidTr="0045607B">
        <w:tc>
          <w:tcPr>
            <w:tcW w:w="2070" w:type="dxa"/>
          </w:tcPr>
          <w:p w:rsidR="00721B2F" w:rsidRDefault="00191AFF" w:rsidP="0045607B">
            <w:pPr>
              <w:pStyle w:val="NoSpacing"/>
              <w:rPr>
                <w:rFonts w:asciiTheme="majorHAnsi" w:hAnsiTheme="majorHAnsi"/>
              </w:rPr>
            </w:pPr>
            <w:r>
              <w:rPr>
                <w:rFonts w:asciiTheme="majorHAnsi" w:hAnsiTheme="majorHAnsi"/>
              </w:rPr>
              <w:t>July 14, 2014</w:t>
            </w:r>
          </w:p>
        </w:tc>
        <w:tc>
          <w:tcPr>
            <w:tcW w:w="8838" w:type="dxa"/>
          </w:tcPr>
          <w:p w:rsidR="00721B2F" w:rsidRPr="00D61BFF" w:rsidRDefault="00191AFF" w:rsidP="00191AFF">
            <w:pPr>
              <w:pStyle w:val="NoSpacing"/>
              <w:rPr>
                <w:rFonts w:asciiTheme="majorHAnsi" w:hAnsiTheme="majorHAnsi"/>
              </w:rPr>
            </w:pPr>
            <w:r>
              <w:rPr>
                <w:rFonts w:asciiTheme="majorHAnsi" w:hAnsiTheme="majorHAnsi"/>
              </w:rPr>
              <w:t>S</w:t>
            </w:r>
            <w:r w:rsidRPr="00D61BFF">
              <w:rPr>
                <w:rFonts w:asciiTheme="majorHAnsi" w:hAnsiTheme="majorHAnsi"/>
              </w:rPr>
              <w:t xml:space="preserve">ubmission of additional documentation for </w:t>
            </w:r>
            <w:r>
              <w:rPr>
                <w:rFonts w:asciiTheme="majorHAnsi" w:hAnsiTheme="majorHAnsi"/>
              </w:rPr>
              <w:t>April</w:t>
            </w:r>
            <w:r w:rsidRPr="00D61BFF">
              <w:rPr>
                <w:rFonts w:asciiTheme="majorHAnsi" w:hAnsiTheme="majorHAnsi"/>
              </w:rPr>
              <w:t>-reported milestones designated by HHSC as NMI</w:t>
            </w:r>
          </w:p>
        </w:tc>
      </w:tr>
    </w:tbl>
    <w:p w:rsidR="00111AB2" w:rsidRDefault="00111AB2" w:rsidP="00D61BFF">
      <w:pPr>
        <w:pStyle w:val="NoSpacing"/>
        <w:rPr>
          <w:rFonts w:asciiTheme="majorHAnsi" w:hAnsiTheme="majorHAnsi"/>
        </w:rPr>
      </w:pPr>
    </w:p>
    <w:p w:rsidR="00CF0C10" w:rsidRPr="00E750FD" w:rsidRDefault="00CF0C10" w:rsidP="00D61BFF">
      <w:pPr>
        <w:pStyle w:val="NoSpacing"/>
        <w:rPr>
          <w:rFonts w:asciiTheme="majorHAnsi" w:hAnsiTheme="majorHAnsi"/>
        </w:rPr>
      </w:pPr>
      <w:r w:rsidRPr="00D61BFF">
        <w:rPr>
          <w:rFonts w:asciiTheme="majorHAnsi" w:hAnsiTheme="majorHAnsi"/>
          <w:b/>
          <w:sz w:val="24"/>
          <w:u w:val="single"/>
        </w:rPr>
        <w:t>What are Learning Collaboratives?</w:t>
      </w:r>
    </w:p>
    <w:p w:rsidR="0045607B" w:rsidRDefault="00665C80" w:rsidP="00111AB2">
      <w:pPr>
        <w:pStyle w:val="NoSpacing"/>
        <w:jc w:val="both"/>
        <w:rPr>
          <w:rFonts w:asciiTheme="majorHAnsi" w:hAnsiTheme="majorHAnsi" w:cs="Arial"/>
        </w:rPr>
      </w:pPr>
      <w:r w:rsidRPr="00D61BFF">
        <w:rPr>
          <w:rFonts w:asciiTheme="majorHAnsi" w:hAnsiTheme="majorHAnsi" w:cs="Arial"/>
        </w:rPr>
        <w:t xml:space="preserve">All RHP </w:t>
      </w:r>
      <w:r w:rsidR="00A34B1E" w:rsidRPr="00D61BFF">
        <w:rPr>
          <w:rFonts w:asciiTheme="majorHAnsi" w:hAnsiTheme="majorHAnsi" w:cs="Arial"/>
        </w:rPr>
        <w:t>8</w:t>
      </w:r>
      <w:r w:rsidRPr="00D61BFF">
        <w:rPr>
          <w:rFonts w:asciiTheme="majorHAnsi" w:hAnsiTheme="majorHAnsi" w:cs="Arial"/>
        </w:rPr>
        <w:t xml:space="preserve"> DSRIP Providers and other community stakeholders are encouraged to participate in Learning Co</w:t>
      </w:r>
      <w:r w:rsidR="00191AFF">
        <w:rPr>
          <w:rFonts w:asciiTheme="majorHAnsi" w:hAnsiTheme="majorHAnsi" w:cs="Arial"/>
        </w:rPr>
        <w:t>llaborative (LC) activities.</w:t>
      </w:r>
      <w:r w:rsidRPr="00D61BFF">
        <w:rPr>
          <w:rFonts w:asciiTheme="majorHAnsi" w:hAnsiTheme="majorHAnsi" w:cs="Arial"/>
        </w:rPr>
        <w:t xml:space="preserve"> LCs are designed to facilitate sharing best practices, lessons learned, challenges, solutions, and results. </w:t>
      </w:r>
      <w:r w:rsidR="00111AB2">
        <w:rPr>
          <w:rFonts w:asciiTheme="majorHAnsi" w:hAnsiTheme="majorHAnsi" w:cs="Arial"/>
        </w:rPr>
        <w:t xml:space="preserve"> During</w:t>
      </w:r>
      <w:r w:rsidRPr="00D61BFF">
        <w:rPr>
          <w:rFonts w:asciiTheme="majorHAnsi" w:hAnsiTheme="majorHAnsi" w:cs="Arial"/>
        </w:rPr>
        <w:t xml:space="preserve"> DY3, </w:t>
      </w:r>
      <w:r w:rsidR="0045607B">
        <w:rPr>
          <w:rFonts w:asciiTheme="majorHAnsi" w:hAnsiTheme="majorHAnsi" w:cs="Arial"/>
        </w:rPr>
        <w:t xml:space="preserve">the RHP 8 Anchor team has </w:t>
      </w:r>
      <w:r w:rsidR="00111AB2">
        <w:rPr>
          <w:rFonts w:asciiTheme="majorHAnsi" w:hAnsiTheme="majorHAnsi" w:cs="Arial"/>
        </w:rPr>
        <w:t>opened many doors for stakeholders in the region to promote collaboration: hosts</w:t>
      </w:r>
      <w:r w:rsidR="0045607B">
        <w:rPr>
          <w:rFonts w:asciiTheme="majorHAnsi" w:hAnsiTheme="majorHAnsi" w:cs="Arial"/>
        </w:rPr>
        <w:t xml:space="preserve"> bi-weekly conference calls in which community </w:t>
      </w:r>
      <w:r w:rsidRPr="00D61BFF">
        <w:rPr>
          <w:rFonts w:asciiTheme="majorHAnsi" w:hAnsiTheme="majorHAnsi" w:cs="Arial"/>
        </w:rPr>
        <w:t>participant</w:t>
      </w:r>
      <w:r w:rsidR="00431663" w:rsidRPr="00D61BFF">
        <w:rPr>
          <w:rFonts w:asciiTheme="majorHAnsi" w:hAnsiTheme="majorHAnsi" w:cs="Arial"/>
        </w:rPr>
        <w:t>s have</w:t>
      </w:r>
      <w:r w:rsidRPr="00D61BFF">
        <w:rPr>
          <w:rFonts w:asciiTheme="majorHAnsi" w:hAnsiTheme="majorHAnsi" w:cs="Arial"/>
        </w:rPr>
        <w:t xml:space="preserve"> </w:t>
      </w:r>
      <w:r w:rsidR="0045607B">
        <w:rPr>
          <w:rFonts w:asciiTheme="majorHAnsi" w:hAnsiTheme="majorHAnsi" w:cs="Arial"/>
        </w:rPr>
        <w:t xml:space="preserve">the </w:t>
      </w:r>
      <w:r w:rsidR="00111AB2">
        <w:rPr>
          <w:rFonts w:asciiTheme="majorHAnsi" w:hAnsiTheme="majorHAnsi" w:cs="Arial"/>
        </w:rPr>
        <w:t>opportunity</w:t>
      </w:r>
      <w:r w:rsidR="0045607B">
        <w:rPr>
          <w:rFonts w:asciiTheme="majorHAnsi" w:hAnsiTheme="majorHAnsi" w:cs="Arial"/>
        </w:rPr>
        <w:t xml:space="preserve"> to share best practices, lessons learned, and s</w:t>
      </w:r>
      <w:r w:rsidR="00111AB2">
        <w:rPr>
          <w:rFonts w:asciiTheme="majorHAnsi" w:hAnsiTheme="majorHAnsi" w:cs="Arial"/>
        </w:rPr>
        <w:t>uccess stories with one another; p</w:t>
      </w:r>
      <w:r w:rsidR="0045607B">
        <w:rPr>
          <w:rFonts w:asciiTheme="majorHAnsi" w:hAnsiTheme="majorHAnsi" w:cs="Arial"/>
        </w:rPr>
        <w:t xml:space="preserve">ublishes a monthly newsletter which highlights </w:t>
      </w:r>
      <w:r w:rsidR="00111AB2">
        <w:rPr>
          <w:rFonts w:asciiTheme="majorHAnsi" w:hAnsiTheme="majorHAnsi" w:cs="Arial"/>
        </w:rPr>
        <w:t>meaningful</w:t>
      </w:r>
      <w:r w:rsidR="0045607B">
        <w:rPr>
          <w:rFonts w:asciiTheme="majorHAnsi" w:hAnsiTheme="majorHAnsi" w:cs="Arial"/>
        </w:rPr>
        <w:t xml:space="preserve"> webinars, and other learning </w:t>
      </w:r>
      <w:r w:rsidR="00111AB2">
        <w:rPr>
          <w:rFonts w:asciiTheme="majorHAnsi" w:hAnsiTheme="majorHAnsi" w:cs="Arial"/>
        </w:rPr>
        <w:t>sources</w:t>
      </w:r>
      <w:r w:rsidR="0045607B">
        <w:rPr>
          <w:rFonts w:asciiTheme="majorHAnsi" w:hAnsiTheme="majorHAnsi" w:cs="Arial"/>
        </w:rPr>
        <w:t xml:space="preserve"> to assist Providers in the region to </w:t>
      </w:r>
      <w:r w:rsidR="00111AB2">
        <w:rPr>
          <w:rFonts w:asciiTheme="majorHAnsi" w:hAnsiTheme="majorHAnsi" w:cs="Arial"/>
        </w:rPr>
        <w:t>succeed</w:t>
      </w:r>
      <w:r w:rsidR="0045607B">
        <w:rPr>
          <w:rFonts w:asciiTheme="majorHAnsi" w:hAnsiTheme="majorHAnsi" w:cs="Arial"/>
        </w:rPr>
        <w:t xml:space="preserve"> in the </w:t>
      </w:r>
      <w:r w:rsidR="00111AB2">
        <w:rPr>
          <w:rFonts w:asciiTheme="majorHAnsi" w:hAnsiTheme="majorHAnsi" w:cs="Arial"/>
        </w:rPr>
        <w:t>implementation of DSRIP projects; supports the on-going development of the Behavioral Health/Primary Care cohort workgroup that brings together like-project leads and allows them to learn from one another; and hosts</w:t>
      </w:r>
      <w:r w:rsidR="0045607B">
        <w:rPr>
          <w:rFonts w:asciiTheme="majorHAnsi" w:hAnsiTheme="majorHAnsi" w:cs="Arial"/>
        </w:rPr>
        <w:t xml:space="preserve"> 2, face-to-face annual events each DY to </w:t>
      </w:r>
      <w:r w:rsidR="00111AB2">
        <w:rPr>
          <w:rFonts w:asciiTheme="majorHAnsi" w:hAnsiTheme="majorHAnsi" w:cs="Arial"/>
        </w:rPr>
        <w:t>allow for collaboration in the region.</w:t>
      </w:r>
    </w:p>
    <w:p w:rsidR="00A34B1E" w:rsidRPr="00D61BFF" w:rsidRDefault="00D61BFF" w:rsidP="00D61BFF">
      <w:pPr>
        <w:pStyle w:val="NoSpacing"/>
        <w:rPr>
          <w:rFonts w:asciiTheme="majorHAnsi" w:hAnsiTheme="majorHAnsi"/>
          <w:b/>
          <w:sz w:val="24"/>
          <w:u w:val="single"/>
        </w:rPr>
      </w:pPr>
      <w:r w:rsidRPr="00D61BFF">
        <w:rPr>
          <w:rFonts w:asciiTheme="majorHAnsi" w:hAnsiTheme="majorHAnsi"/>
          <w:b/>
          <w:sz w:val="24"/>
          <w:u w:val="single"/>
        </w:rPr>
        <w:lastRenderedPageBreak/>
        <w:t>What do all these T</w:t>
      </w:r>
      <w:r w:rsidR="00034CB7" w:rsidRPr="00D61BFF">
        <w:rPr>
          <w:rFonts w:asciiTheme="majorHAnsi" w:hAnsiTheme="majorHAnsi"/>
          <w:b/>
          <w:sz w:val="24"/>
          <w:u w:val="single"/>
        </w:rPr>
        <w:t xml:space="preserve">erms </w:t>
      </w:r>
      <w:r w:rsidR="00A30F91">
        <w:rPr>
          <w:rFonts w:asciiTheme="majorHAnsi" w:hAnsiTheme="majorHAnsi"/>
          <w:b/>
          <w:sz w:val="24"/>
          <w:u w:val="single"/>
        </w:rPr>
        <w:t xml:space="preserve">and </w:t>
      </w:r>
      <w:r w:rsidR="00A30F91" w:rsidRPr="00D61BFF">
        <w:rPr>
          <w:rFonts w:asciiTheme="majorHAnsi" w:hAnsiTheme="majorHAnsi"/>
          <w:b/>
          <w:sz w:val="24"/>
          <w:u w:val="single"/>
        </w:rPr>
        <w:t xml:space="preserve">Acronyms </w:t>
      </w:r>
      <w:r w:rsidRPr="00D61BFF">
        <w:rPr>
          <w:rFonts w:asciiTheme="majorHAnsi" w:hAnsiTheme="majorHAnsi"/>
          <w:b/>
          <w:sz w:val="24"/>
          <w:u w:val="single"/>
        </w:rPr>
        <w:t>M</w:t>
      </w:r>
      <w:r w:rsidR="00034CB7" w:rsidRPr="00D61BFF">
        <w:rPr>
          <w:rFonts w:asciiTheme="majorHAnsi" w:hAnsiTheme="majorHAnsi"/>
          <w:b/>
          <w:sz w:val="24"/>
          <w:u w:val="single"/>
        </w:rPr>
        <w:t>ean?</w:t>
      </w:r>
    </w:p>
    <w:p w:rsidR="00A30F91" w:rsidRPr="00A30F91" w:rsidRDefault="00A30F91" w:rsidP="00A30F91">
      <w:pPr>
        <w:pStyle w:val="NoSpacing"/>
        <w:rPr>
          <w:rFonts w:asciiTheme="majorHAnsi" w:hAnsiTheme="majorHAnsi"/>
          <w:b/>
          <w:u w:val="single"/>
        </w:rPr>
      </w:pPr>
      <w:r w:rsidRPr="00A30F91">
        <w:rPr>
          <w:rFonts w:asciiTheme="majorHAnsi" w:hAnsiTheme="majorHAnsi"/>
          <w:b/>
          <w:u w:val="single"/>
        </w:rPr>
        <w:t>Common Terms</w:t>
      </w:r>
    </w:p>
    <w:p w:rsidR="00875D95" w:rsidRDefault="00875D95" w:rsidP="00FC5E39">
      <w:pPr>
        <w:pStyle w:val="NoSpacing"/>
        <w:numPr>
          <w:ilvl w:val="0"/>
          <w:numId w:val="12"/>
        </w:numPr>
        <w:ind w:left="360"/>
        <w:rPr>
          <w:rFonts w:asciiTheme="majorHAnsi" w:hAnsiTheme="majorHAnsi"/>
        </w:rPr>
      </w:pPr>
      <w:r w:rsidRPr="00D61BFF">
        <w:rPr>
          <w:rFonts w:asciiTheme="majorHAnsi" w:hAnsiTheme="majorHAnsi"/>
          <w:b/>
        </w:rPr>
        <w:t>Anchoring Entity (Anchor)</w:t>
      </w:r>
    </w:p>
    <w:p w:rsidR="00875D95" w:rsidRDefault="00875D95" w:rsidP="00FC5E39">
      <w:pPr>
        <w:pStyle w:val="NoSpacing"/>
        <w:ind w:left="360"/>
        <w:rPr>
          <w:rFonts w:asciiTheme="majorHAnsi" w:hAnsiTheme="majorHAnsi"/>
        </w:rPr>
      </w:pPr>
      <w:r w:rsidRPr="003F2EFA">
        <w:rPr>
          <w:rFonts w:asciiTheme="majorHAnsi" w:hAnsiTheme="majorHAnsi"/>
        </w:rPr>
        <w:t>The single IGT entity in an RHP serving as the primary contact to HHSC responsible for providing opportunities for public input to the development of RHP plans and coordinating discussion and review of proposed RHP plans prior to plan submission to the Sta</w:t>
      </w:r>
      <w:r>
        <w:rPr>
          <w:rFonts w:asciiTheme="majorHAnsi" w:hAnsiTheme="majorHAnsi"/>
        </w:rPr>
        <w:t>te.</w:t>
      </w:r>
    </w:p>
    <w:p w:rsidR="00D61BFF" w:rsidRPr="00D61BFF" w:rsidRDefault="00926C6B" w:rsidP="00FC5E39">
      <w:pPr>
        <w:pStyle w:val="NoSpacing"/>
        <w:numPr>
          <w:ilvl w:val="0"/>
          <w:numId w:val="12"/>
        </w:numPr>
        <w:ind w:left="360"/>
        <w:rPr>
          <w:rFonts w:asciiTheme="majorHAnsi" w:hAnsiTheme="majorHAnsi"/>
        </w:rPr>
      </w:pPr>
      <w:r w:rsidRPr="00926C6B">
        <w:rPr>
          <w:rFonts w:asciiTheme="majorHAnsi" w:hAnsiTheme="majorHAnsi"/>
          <w:b/>
        </w:rPr>
        <w:t>Category</w:t>
      </w:r>
      <w:r w:rsidRPr="00D61BFF">
        <w:rPr>
          <w:rFonts w:asciiTheme="majorHAnsi" w:hAnsiTheme="majorHAnsi"/>
          <w:b/>
        </w:rPr>
        <w:t xml:space="preserve"> </w:t>
      </w:r>
      <w:r w:rsidRPr="00926C6B">
        <w:rPr>
          <w:rFonts w:asciiTheme="majorHAnsi" w:hAnsiTheme="majorHAnsi"/>
        </w:rPr>
        <w:t xml:space="preserve"> (</w:t>
      </w:r>
      <w:r w:rsidR="00034CB7" w:rsidRPr="00D61BFF">
        <w:rPr>
          <w:rFonts w:asciiTheme="majorHAnsi" w:hAnsiTheme="majorHAnsi"/>
          <w:b/>
        </w:rPr>
        <w:t>C</w:t>
      </w:r>
      <w:r w:rsidR="000C7A49">
        <w:rPr>
          <w:rFonts w:asciiTheme="majorHAnsi" w:hAnsiTheme="majorHAnsi"/>
          <w:b/>
        </w:rPr>
        <w:t>at</w:t>
      </w:r>
      <w:r w:rsidRPr="00926C6B">
        <w:rPr>
          <w:rFonts w:asciiTheme="majorHAnsi" w:hAnsiTheme="majorHAnsi"/>
        </w:rPr>
        <w:t>)</w:t>
      </w:r>
    </w:p>
    <w:p w:rsidR="002721DE" w:rsidRPr="00D61BFF" w:rsidRDefault="002721DE" w:rsidP="00FC5E39">
      <w:pPr>
        <w:pStyle w:val="NoSpacing"/>
        <w:ind w:left="360"/>
        <w:rPr>
          <w:rFonts w:asciiTheme="majorHAnsi" w:hAnsiTheme="majorHAnsi"/>
        </w:rPr>
      </w:pPr>
      <w:r w:rsidRPr="00D61BFF">
        <w:rPr>
          <w:rFonts w:asciiTheme="majorHAnsi" w:hAnsiTheme="majorHAnsi"/>
        </w:rPr>
        <w:t>Categories 1 and 2 represent the core DSRIP projects related to infrastructure development and program innovation and redesign. Category 3 includes the outcome measures associated with each project. Category 4 is a set of measures repo</w:t>
      </w:r>
      <w:r w:rsidR="00D61BFF">
        <w:rPr>
          <w:rFonts w:asciiTheme="majorHAnsi" w:hAnsiTheme="majorHAnsi"/>
        </w:rPr>
        <w:t>rted by participating hospitals.</w:t>
      </w:r>
    </w:p>
    <w:p w:rsidR="000C7A49" w:rsidRPr="003F2EFA" w:rsidRDefault="000C7A49" w:rsidP="00FC5E39">
      <w:pPr>
        <w:pStyle w:val="NoSpacing"/>
        <w:numPr>
          <w:ilvl w:val="0"/>
          <w:numId w:val="12"/>
        </w:numPr>
        <w:ind w:left="360"/>
        <w:rPr>
          <w:rFonts w:asciiTheme="majorHAnsi" w:hAnsiTheme="majorHAnsi"/>
          <w:b/>
        </w:rPr>
      </w:pPr>
      <w:r w:rsidRPr="003F2EFA">
        <w:rPr>
          <w:rFonts w:asciiTheme="majorHAnsi" w:hAnsiTheme="majorHAnsi"/>
          <w:b/>
        </w:rPr>
        <w:t>Centers for Medicare and Medicaid Services</w:t>
      </w:r>
      <w:r>
        <w:rPr>
          <w:rFonts w:asciiTheme="majorHAnsi" w:hAnsiTheme="majorHAnsi"/>
          <w:b/>
        </w:rPr>
        <w:t xml:space="preserve"> (CMS)</w:t>
      </w:r>
    </w:p>
    <w:p w:rsidR="000C7A49" w:rsidRDefault="000C7A49" w:rsidP="00FC5E39">
      <w:pPr>
        <w:pStyle w:val="NoSpacing"/>
        <w:ind w:left="360"/>
        <w:rPr>
          <w:rFonts w:asciiTheme="majorHAnsi" w:hAnsiTheme="majorHAnsi"/>
        </w:rPr>
      </w:pPr>
      <w:r w:rsidRPr="003F2EFA">
        <w:rPr>
          <w:rFonts w:asciiTheme="majorHAnsi" w:hAnsiTheme="majorHAnsi"/>
        </w:rPr>
        <w:t>The U.S. federal agency that administers Medicare, Medicaid, and the State Children's Health Insurance Program.</w:t>
      </w:r>
      <w:r>
        <w:rPr>
          <w:rFonts w:asciiTheme="majorHAnsi" w:hAnsiTheme="majorHAnsi"/>
        </w:rPr>
        <w:t xml:space="preserve"> </w:t>
      </w:r>
      <w:r w:rsidRPr="00D61BFF">
        <w:rPr>
          <w:rFonts w:asciiTheme="majorHAnsi" w:hAnsiTheme="majorHAnsi"/>
        </w:rPr>
        <w:t>CMS granted the Waiver to Texas, approves protocols and RHP Plans, and holds Texas accountable to the Waiver Standard Terms and Conditions.</w:t>
      </w:r>
    </w:p>
    <w:p w:rsidR="00D61BFF" w:rsidRPr="00926C6B" w:rsidRDefault="00926C6B" w:rsidP="00FC5E39">
      <w:pPr>
        <w:pStyle w:val="NoSpacing"/>
        <w:numPr>
          <w:ilvl w:val="0"/>
          <w:numId w:val="12"/>
        </w:numPr>
        <w:ind w:left="360"/>
        <w:rPr>
          <w:rFonts w:asciiTheme="majorHAnsi" w:hAnsiTheme="majorHAnsi"/>
          <w:b/>
        </w:rPr>
      </w:pPr>
      <w:r w:rsidRPr="00926C6B">
        <w:rPr>
          <w:rFonts w:asciiTheme="majorHAnsi" w:hAnsiTheme="majorHAnsi"/>
          <w:b/>
        </w:rPr>
        <w:t>Continuous Quality Improvement  (</w:t>
      </w:r>
      <w:r w:rsidR="002721DE" w:rsidRPr="00926C6B">
        <w:rPr>
          <w:rFonts w:asciiTheme="majorHAnsi" w:hAnsiTheme="majorHAnsi"/>
          <w:b/>
        </w:rPr>
        <w:t>CQI</w:t>
      </w:r>
      <w:r w:rsidRPr="00926C6B">
        <w:rPr>
          <w:rFonts w:asciiTheme="majorHAnsi" w:hAnsiTheme="majorHAnsi"/>
          <w:b/>
        </w:rPr>
        <w:t>)</w:t>
      </w:r>
    </w:p>
    <w:p w:rsidR="002721DE" w:rsidRPr="00D61BFF" w:rsidRDefault="002721DE" w:rsidP="00FC5E39">
      <w:pPr>
        <w:pStyle w:val="NoSpacing"/>
        <w:ind w:left="360"/>
        <w:rPr>
          <w:rFonts w:asciiTheme="majorHAnsi" w:hAnsiTheme="majorHAnsi"/>
        </w:rPr>
      </w:pPr>
      <w:r w:rsidRPr="00D61BFF">
        <w:rPr>
          <w:rFonts w:asciiTheme="majorHAnsi" w:hAnsiTheme="majorHAnsi"/>
        </w:rPr>
        <w:t>All projects are required to conduct and report on continuous quality improvement activities.</w:t>
      </w:r>
    </w:p>
    <w:p w:rsidR="003F2EFA" w:rsidRPr="003F2EFA" w:rsidRDefault="003F2EFA" w:rsidP="00FC5E39">
      <w:pPr>
        <w:pStyle w:val="NoSpacing"/>
        <w:numPr>
          <w:ilvl w:val="0"/>
          <w:numId w:val="12"/>
        </w:numPr>
        <w:ind w:left="360"/>
        <w:rPr>
          <w:rFonts w:asciiTheme="majorHAnsi" w:hAnsiTheme="majorHAnsi"/>
          <w:b/>
        </w:rPr>
      </w:pPr>
      <w:r w:rsidRPr="003F2EFA">
        <w:rPr>
          <w:rFonts w:asciiTheme="majorHAnsi" w:hAnsiTheme="majorHAnsi"/>
          <w:b/>
        </w:rPr>
        <w:t>Delivery System Reform Incentive Payment (DSRIP</w:t>
      </w:r>
      <w:r w:rsidR="00B651C0">
        <w:rPr>
          <w:rFonts w:asciiTheme="majorHAnsi" w:hAnsiTheme="majorHAnsi"/>
          <w:b/>
        </w:rPr>
        <w:t xml:space="preserve"> –</w:t>
      </w:r>
      <w:r w:rsidR="00B651C0" w:rsidRPr="00B651C0">
        <w:rPr>
          <w:rFonts w:asciiTheme="majorHAnsi" w:hAnsiTheme="majorHAnsi"/>
        </w:rPr>
        <w:t xml:space="preserve"> pronounced “dis-rip”</w:t>
      </w:r>
      <w:r w:rsidRPr="003F2EFA">
        <w:rPr>
          <w:rFonts w:asciiTheme="majorHAnsi" w:hAnsiTheme="majorHAnsi"/>
          <w:b/>
        </w:rPr>
        <w:t>)</w:t>
      </w:r>
      <w:r w:rsidR="002721DE" w:rsidRPr="003F2EFA">
        <w:rPr>
          <w:rFonts w:asciiTheme="majorHAnsi" w:hAnsiTheme="majorHAnsi"/>
          <w:b/>
        </w:rPr>
        <w:t xml:space="preserve"> </w:t>
      </w:r>
    </w:p>
    <w:p w:rsidR="003F2EFA" w:rsidRDefault="003F2EFA" w:rsidP="00FC5E39">
      <w:pPr>
        <w:pStyle w:val="NoSpacing"/>
        <w:ind w:left="360"/>
        <w:rPr>
          <w:rFonts w:asciiTheme="majorHAnsi" w:hAnsiTheme="majorHAnsi"/>
        </w:rPr>
      </w:pPr>
      <w:r w:rsidRPr="003F2EFA">
        <w:rPr>
          <w:rFonts w:asciiTheme="majorHAnsi" w:hAnsiTheme="majorHAnsi"/>
        </w:rPr>
        <w:t>Incentive payments available for projects under the Transformation waiver to enhance access to health care, increase the quality of care, the cost-effectiveness of care provided and the health of the patients and families served. Projects eligible for incentive payments must come from the DSRIP menu, be included in an HHSC and CMS-approved RHP plan and have corresponding metrics and milestones.</w:t>
      </w:r>
    </w:p>
    <w:p w:rsidR="00A30F91" w:rsidRPr="00926C6B" w:rsidRDefault="00A30F91" w:rsidP="00A30F91">
      <w:pPr>
        <w:pStyle w:val="NoSpacing"/>
        <w:numPr>
          <w:ilvl w:val="0"/>
          <w:numId w:val="12"/>
        </w:numPr>
        <w:ind w:left="360"/>
        <w:rPr>
          <w:rFonts w:asciiTheme="majorHAnsi" w:hAnsiTheme="majorHAnsi"/>
          <w:b/>
        </w:rPr>
      </w:pPr>
      <w:r w:rsidRPr="00926C6B">
        <w:rPr>
          <w:rFonts w:asciiTheme="majorHAnsi" w:hAnsiTheme="majorHAnsi"/>
          <w:b/>
        </w:rPr>
        <w:t>Demonstration Year  (DY)</w:t>
      </w:r>
    </w:p>
    <w:p w:rsidR="0045607B" w:rsidRPr="0045607B" w:rsidRDefault="00A30F91" w:rsidP="0045607B">
      <w:pPr>
        <w:pStyle w:val="NoSpacing"/>
        <w:ind w:left="360"/>
        <w:rPr>
          <w:rFonts w:asciiTheme="majorHAnsi" w:hAnsiTheme="majorHAnsi"/>
        </w:rPr>
      </w:pPr>
      <w:r w:rsidRPr="003F2EFA">
        <w:rPr>
          <w:rFonts w:asciiTheme="majorHAnsi" w:hAnsiTheme="majorHAnsi"/>
        </w:rPr>
        <w:t>A 12-month period beginning October 1 and ending September 30.  The 1115 Transformation waiver currently consists of five demonstration years from 2011 to 2016.</w:t>
      </w:r>
      <w:r>
        <w:rPr>
          <w:rFonts w:asciiTheme="majorHAnsi" w:hAnsiTheme="majorHAnsi"/>
        </w:rPr>
        <w:t xml:space="preserve"> </w:t>
      </w:r>
      <w:r w:rsidRPr="00D61BFF">
        <w:rPr>
          <w:rFonts w:asciiTheme="majorHAnsi" w:hAnsiTheme="majorHAnsi"/>
        </w:rPr>
        <w:t>The waiver demonstration years are consistent with Federal Fiscal Years. The first DY involved submission of the RHP Plan. Projects are implemented and outcomes reported during the remaining four DYs.</w:t>
      </w:r>
    </w:p>
    <w:tbl>
      <w:tblPr>
        <w:tblStyle w:val="TableGrid"/>
        <w:tblW w:w="0" w:type="auto"/>
        <w:tblInd w:w="585" w:type="dxa"/>
        <w:tblLook w:val="04A0" w:firstRow="1" w:lastRow="0" w:firstColumn="1" w:lastColumn="0" w:noHBand="0" w:noVBand="1"/>
      </w:tblPr>
      <w:tblGrid>
        <w:gridCol w:w="990"/>
        <w:gridCol w:w="4680"/>
      </w:tblGrid>
      <w:tr w:rsidR="0045607B" w:rsidRPr="00523C13" w:rsidTr="0045607B">
        <w:tc>
          <w:tcPr>
            <w:tcW w:w="990" w:type="dxa"/>
          </w:tcPr>
          <w:p w:rsidR="0045607B" w:rsidRPr="00E750FD" w:rsidRDefault="0045607B" w:rsidP="0045607B">
            <w:pPr>
              <w:pStyle w:val="NoSpacing"/>
              <w:jc w:val="center"/>
              <w:rPr>
                <w:rFonts w:asciiTheme="majorHAnsi" w:hAnsiTheme="majorHAnsi"/>
                <w:b/>
              </w:rPr>
            </w:pPr>
            <w:r>
              <w:rPr>
                <w:rFonts w:asciiTheme="majorHAnsi" w:hAnsiTheme="majorHAnsi"/>
                <w:b/>
              </w:rPr>
              <w:t>DY</w:t>
            </w:r>
          </w:p>
        </w:tc>
        <w:tc>
          <w:tcPr>
            <w:tcW w:w="4680" w:type="dxa"/>
          </w:tcPr>
          <w:p w:rsidR="0045607B" w:rsidRPr="00E750FD" w:rsidRDefault="0045607B" w:rsidP="00880A97">
            <w:pPr>
              <w:pStyle w:val="NoSpacing"/>
              <w:jc w:val="center"/>
              <w:rPr>
                <w:rFonts w:asciiTheme="majorHAnsi" w:hAnsiTheme="majorHAnsi"/>
                <w:b/>
              </w:rPr>
            </w:pPr>
            <w:r w:rsidRPr="00E750FD">
              <w:rPr>
                <w:rFonts w:asciiTheme="majorHAnsi" w:hAnsiTheme="majorHAnsi"/>
                <w:b/>
              </w:rPr>
              <w:t>Federal Fiscal Year (FFY) Calendar Date</w:t>
            </w:r>
          </w:p>
        </w:tc>
      </w:tr>
      <w:tr w:rsidR="0045607B" w:rsidTr="0045607B">
        <w:tc>
          <w:tcPr>
            <w:tcW w:w="990" w:type="dxa"/>
          </w:tcPr>
          <w:p w:rsidR="0045607B" w:rsidRPr="00FC5E39" w:rsidRDefault="0045607B" w:rsidP="00880A97">
            <w:pPr>
              <w:pStyle w:val="NoSpacing"/>
              <w:jc w:val="center"/>
              <w:rPr>
                <w:rFonts w:asciiTheme="majorHAnsi" w:hAnsiTheme="majorHAnsi"/>
                <w:sz w:val="24"/>
                <w:u w:val="single"/>
              </w:rPr>
            </w:pPr>
            <w:r>
              <w:rPr>
                <w:rFonts w:asciiTheme="majorHAnsi" w:hAnsiTheme="majorHAnsi"/>
              </w:rPr>
              <w:t xml:space="preserve">DY </w:t>
            </w:r>
            <w:r w:rsidRPr="00FC5E39">
              <w:rPr>
                <w:rFonts w:asciiTheme="majorHAnsi" w:hAnsiTheme="majorHAnsi"/>
              </w:rPr>
              <w:t>1</w:t>
            </w:r>
          </w:p>
        </w:tc>
        <w:tc>
          <w:tcPr>
            <w:tcW w:w="4680" w:type="dxa"/>
          </w:tcPr>
          <w:p w:rsidR="0045607B" w:rsidRDefault="0045607B" w:rsidP="00880A97">
            <w:pPr>
              <w:pStyle w:val="NoSpacing"/>
              <w:jc w:val="center"/>
              <w:rPr>
                <w:rFonts w:asciiTheme="majorHAnsi" w:hAnsiTheme="majorHAnsi"/>
                <w:b/>
                <w:sz w:val="24"/>
                <w:u w:val="single"/>
              </w:rPr>
            </w:pPr>
            <w:r>
              <w:rPr>
                <w:rFonts w:asciiTheme="majorHAnsi" w:hAnsiTheme="majorHAnsi"/>
              </w:rPr>
              <w:t>October</w:t>
            </w:r>
            <w:r w:rsidRPr="00D61BFF">
              <w:rPr>
                <w:rFonts w:asciiTheme="majorHAnsi" w:hAnsiTheme="majorHAnsi"/>
              </w:rPr>
              <w:t xml:space="preserve"> 1, 2011 – </w:t>
            </w:r>
            <w:r>
              <w:rPr>
                <w:rFonts w:asciiTheme="majorHAnsi" w:hAnsiTheme="majorHAnsi"/>
              </w:rPr>
              <w:t>September</w:t>
            </w:r>
            <w:r w:rsidRPr="00D61BFF">
              <w:rPr>
                <w:rFonts w:asciiTheme="majorHAnsi" w:hAnsiTheme="majorHAnsi"/>
              </w:rPr>
              <w:t xml:space="preserve"> 30, 2012</w:t>
            </w:r>
          </w:p>
        </w:tc>
      </w:tr>
      <w:tr w:rsidR="0045607B" w:rsidTr="0045607B">
        <w:tc>
          <w:tcPr>
            <w:tcW w:w="990" w:type="dxa"/>
          </w:tcPr>
          <w:p w:rsidR="0045607B" w:rsidRPr="00FC5E39" w:rsidRDefault="0045607B" w:rsidP="00880A97">
            <w:pPr>
              <w:pStyle w:val="NoSpacing"/>
              <w:jc w:val="center"/>
              <w:rPr>
                <w:rFonts w:asciiTheme="majorHAnsi" w:hAnsiTheme="majorHAnsi"/>
              </w:rPr>
            </w:pPr>
            <w:r>
              <w:rPr>
                <w:rFonts w:asciiTheme="majorHAnsi" w:hAnsiTheme="majorHAnsi"/>
              </w:rPr>
              <w:t xml:space="preserve">DY </w:t>
            </w:r>
            <w:r w:rsidRPr="00FC5E39">
              <w:rPr>
                <w:rFonts w:asciiTheme="majorHAnsi" w:hAnsiTheme="majorHAnsi"/>
              </w:rPr>
              <w:t>2</w:t>
            </w:r>
          </w:p>
        </w:tc>
        <w:tc>
          <w:tcPr>
            <w:tcW w:w="4680" w:type="dxa"/>
          </w:tcPr>
          <w:p w:rsidR="0045607B" w:rsidRPr="00B53B56" w:rsidRDefault="0045607B" w:rsidP="00880A97">
            <w:pPr>
              <w:pStyle w:val="NoSpacing"/>
              <w:jc w:val="center"/>
              <w:rPr>
                <w:rFonts w:asciiTheme="majorHAnsi" w:hAnsiTheme="majorHAnsi"/>
              </w:rPr>
            </w:pPr>
            <w:r>
              <w:rPr>
                <w:rFonts w:asciiTheme="majorHAnsi" w:hAnsiTheme="majorHAnsi"/>
              </w:rPr>
              <w:t>October</w:t>
            </w:r>
            <w:r w:rsidRPr="00D61BFF">
              <w:rPr>
                <w:rFonts w:asciiTheme="majorHAnsi" w:hAnsiTheme="majorHAnsi"/>
              </w:rPr>
              <w:t xml:space="preserve"> 1, 2012 – </w:t>
            </w:r>
            <w:r>
              <w:rPr>
                <w:rFonts w:asciiTheme="majorHAnsi" w:hAnsiTheme="majorHAnsi"/>
              </w:rPr>
              <w:t>September</w:t>
            </w:r>
            <w:r w:rsidRPr="00D61BFF">
              <w:rPr>
                <w:rFonts w:asciiTheme="majorHAnsi" w:hAnsiTheme="majorHAnsi"/>
              </w:rPr>
              <w:t xml:space="preserve"> 30, 2013</w:t>
            </w:r>
          </w:p>
        </w:tc>
      </w:tr>
      <w:tr w:rsidR="0045607B" w:rsidTr="0045607B">
        <w:tc>
          <w:tcPr>
            <w:tcW w:w="990" w:type="dxa"/>
          </w:tcPr>
          <w:p w:rsidR="0045607B" w:rsidRPr="00FC5E39" w:rsidRDefault="0045607B" w:rsidP="00880A97">
            <w:pPr>
              <w:pStyle w:val="NoSpacing"/>
              <w:jc w:val="center"/>
              <w:rPr>
                <w:rFonts w:asciiTheme="majorHAnsi" w:hAnsiTheme="majorHAnsi"/>
              </w:rPr>
            </w:pPr>
            <w:r>
              <w:rPr>
                <w:rFonts w:asciiTheme="majorHAnsi" w:hAnsiTheme="majorHAnsi"/>
              </w:rPr>
              <w:t xml:space="preserve">DY </w:t>
            </w:r>
            <w:r w:rsidRPr="00FC5E39">
              <w:rPr>
                <w:rFonts w:asciiTheme="majorHAnsi" w:hAnsiTheme="majorHAnsi"/>
              </w:rPr>
              <w:t>3</w:t>
            </w:r>
          </w:p>
        </w:tc>
        <w:tc>
          <w:tcPr>
            <w:tcW w:w="4680" w:type="dxa"/>
          </w:tcPr>
          <w:p w:rsidR="0045607B" w:rsidRDefault="0045607B" w:rsidP="00880A97">
            <w:pPr>
              <w:pStyle w:val="NoSpacing"/>
              <w:jc w:val="center"/>
              <w:rPr>
                <w:rFonts w:asciiTheme="majorHAnsi" w:hAnsiTheme="majorHAnsi"/>
                <w:b/>
                <w:sz w:val="24"/>
                <w:u w:val="single"/>
              </w:rPr>
            </w:pPr>
            <w:r w:rsidRPr="00B53B56">
              <w:rPr>
                <w:rFonts w:asciiTheme="majorHAnsi" w:hAnsiTheme="majorHAnsi"/>
              </w:rPr>
              <w:t>October 1, 2013 – September 30, 2014</w:t>
            </w:r>
          </w:p>
        </w:tc>
      </w:tr>
      <w:tr w:rsidR="0045607B" w:rsidTr="0045607B">
        <w:tc>
          <w:tcPr>
            <w:tcW w:w="990" w:type="dxa"/>
          </w:tcPr>
          <w:p w:rsidR="0045607B" w:rsidRPr="00FC5E39" w:rsidRDefault="0045607B" w:rsidP="00880A97">
            <w:pPr>
              <w:pStyle w:val="NoSpacing"/>
              <w:jc w:val="center"/>
              <w:rPr>
                <w:rFonts w:asciiTheme="majorHAnsi" w:hAnsiTheme="majorHAnsi"/>
              </w:rPr>
            </w:pPr>
            <w:r>
              <w:rPr>
                <w:rFonts w:asciiTheme="majorHAnsi" w:hAnsiTheme="majorHAnsi"/>
              </w:rPr>
              <w:t xml:space="preserve">DY </w:t>
            </w:r>
            <w:r w:rsidRPr="00FC5E39">
              <w:rPr>
                <w:rFonts w:asciiTheme="majorHAnsi" w:hAnsiTheme="majorHAnsi"/>
              </w:rPr>
              <w:t>4</w:t>
            </w:r>
          </w:p>
        </w:tc>
        <w:tc>
          <w:tcPr>
            <w:tcW w:w="4680" w:type="dxa"/>
          </w:tcPr>
          <w:p w:rsidR="0045607B" w:rsidRDefault="0045607B" w:rsidP="00880A97">
            <w:pPr>
              <w:pStyle w:val="NoSpacing"/>
              <w:jc w:val="center"/>
              <w:rPr>
                <w:rFonts w:asciiTheme="majorHAnsi" w:hAnsiTheme="majorHAnsi"/>
                <w:b/>
                <w:sz w:val="24"/>
                <w:u w:val="single"/>
              </w:rPr>
            </w:pPr>
            <w:r>
              <w:rPr>
                <w:rFonts w:asciiTheme="majorHAnsi" w:hAnsiTheme="majorHAnsi"/>
              </w:rPr>
              <w:t>October</w:t>
            </w:r>
            <w:r w:rsidRPr="00D61BFF">
              <w:rPr>
                <w:rFonts w:asciiTheme="majorHAnsi" w:hAnsiTheme="majorHAnsi"/>
              </w:rPr>
              <w:t xml:space="preserve"> 1, 2014 – </w:t>
            </w:r>
            <w:r>
              <w:rPr>
                <w:rFonts w:asciiTheme="majorHAnsi" w:hAnsiTheme="majorHAnsi"/>
              </w:rPr>
              <w:t>September</w:t>
            </w:r>
            <w:r w:rsidRPr="00D61BFF">
              <w:rPr>
                <w:rFonts w:asciiTheme="majorHAnsi" w:hAnsiTheme="majorHAnsi"/>
              </w:rPr>
              <w:t xml:space="preserve"> 30, 2015</w:t>
            </w:r>
          </w:p>
        </w:tc>
      </w:tr>
      <w:tr w:rsidR="0045607B" w:rsidTr="0045607B">
        <w:tc>
          <w:tcPr>
            <w:tcW w:w="990" w:type="dxa"/>
          </w:tcPr>
          <w:p w:rsidR="0045607B" w:rsidRPr="00FC5E39" w:rsidRDefault="0045607B" w:rsidP="00880A97">
            <w:pPr>
              <w:pStyle w:val="NoSpacing"/>
              <w:jc w:val="center"/>
              <w:rPr>
                <w:rFonts w:asciiTheme="majorHAnsi" w:hAnsiTheme="majorHAnsi"/>
              </w:rPr>
            </w:pPr>
            <w:r>
              <w:rPr>
                <w:rFonts w:asciiTheme="majorHAnsi" w:hAnsiTheme="majorHAnsi"/>
              </w:rPr>
              <w:t xml:space="preserve">DY </w:t>
            </w:r>
            <w:r w:rsidRPr="00FC5E39">
              <w:rPr>
                <w:rFonts w:asciiTheme="majorHAnsi" w:hAnsiTheme="majorHAnsi"/>
              </w:rPr>
              <w:t>5</w:t>
            </w:r>
          </w:p>
        </w:tc>
        <w:tc>
          <w:tcPr>
            <w:tcW w:w="4680" w:type="dxa"/>
          </w:tcPr>
          <w:p w:rsidR="0045607B" w:rsidRDefault="0045607B" w:rsidP="00880A97">
            <w:pPr>
              <w:pStyle w:val="NoSpacing"/>
              <w:jc w:val="center"/>
              <w:rPr>
                <w:rFonts w:asciiTheme="majorHAnsi" w:hAnsiTheme="majorHAnsi"/>
                <w:b/>
                <w:sz w:val="24"/>
                <w:u w:val="single"/>
              </w:rPr>
            </w:pPr>
            <w:r>
              <w:rPr>
                <w:rFonts w:asciiTheme="majorHAnsi" w:hAnsiTheme="majorHAnsi"/>
              </w:rPr>
              <w:t>October</w:t>
            </w:r>
            <w:r w:rsidRPr="00D61BFF">
              <w:rPr>
                <w:rFonts w:asciiTheme="majorHAnsi" w:hAnsiTheme="majorHAnsi"/>
              </w:rPr>
              <w:t xml:space="preserve"> 1, 2015 – </w:t>
            </w:r>
            <w:r>
              <w:rPr>
                <w:rFonts w:asciiTheme="majorHAnsi" w:hAnsiTheme="majorHAnsi"/>
              </w:rPr>
              <w:t>September</w:t>
            </w:r>
            <w:r w:rsidRPr="00D61BFF">
              <w:rPr>
                <w:rFonts w:asciiTheme="majorHAnsi" w:hAnsiTheme="majorHAnsi"/>
              </w:rPr>
              <w:t xml:space="preserve"> 30, 2016</w:t>
            </w:r>
          </w:p>
        </w:tc>
      </w:tr>
    </w:tbl>
    <w:p w:rsidR="00A30F91" w:rsidRPr="00875D95" w:rsidRDefault="00A30F91" w:rsidP="00A30F91">
      <w:pPr>
        <w:pStyle w:val="NoSpacing"/>
        <w:numPr>
          <w:ilvl w:val="0"/>
          <w:numId w:val="12"/>
        </w:numPr>
        <w:ind w:left="360"/>
        <w:rPr>
          <w:rFonts w:asciiTheme="majorHAnsi" w:eastAsia="Times New Roman" w:hAnsiTheme="majorHAnsi" w:cs="Times New Roman"/>
          <w:b/>
        </w:rPr>
      </w:pPr>
      <w:r w:rsidRPr="00875D95">
        <w:rPr>
          <w:rFonts w:asciiTheme="majorHAnsi" w:eastAsia="Times New Roman" w:hAnsiTheme="majorHAnsi" w:cs="Times New Roman"/>
          <w:b/>
        </w:rPr>
        <w:t>Disproportionate Share Hospital (DSH</w:t>
      </w:r>
      <w:r>
        <w:rPr>
          <w:rFonts w:asciiTheme="majorHAnsi" w:eastAsia="Times New Roman" w:hAnsiTheme="majorHAnsi" w:cs="Times New Roman"/>
          <w:b/>
        </w:rPr>
        <w:t xml:space="preserve"> – </w:t>
      </w:r>
      <w:r w:rsidRPr="00B651C0">
        <w:rPr>
          <w:rFonts w:asciiTheme="majorHAnsi" w:eastAsia="Times New Roman" w:hAnsiTheme="majorHAnsi" w:cs="Times New Roman"/>
        </w:rPr>
        <w:t>pronounced</w:t>
      </w:r>
      <w:r>
        <w:rPr>
          <w:rFonts w:asciiTheme="majorHAnsi" w:eastAsia="Times New Roman" w:hAnsiTheme="majorHAnsi" w:cs="Times New Roman"/>
          <w:b/>
        </w:rPr>
        <w:t xml:space="preserve"> </w:t>
      </w:r>
      <w:r w:rsidRPr="00B651C0">
        <w:rPr>
          <w:rFonts w:asciiTheme="majorHAnsi" w:eastAsia="Times New Roman" w:hAnsiTheme="majorHAnsi" w:cs="Times New Roman"/>
        </w:rPr>
        <w:t>“dishes”</w:t>
      </w:r>
      <w:r w:rsidRPr="00875D95">
        <w:rPr>
          <w:rFonts w:asciiTheme="majorHAnsi" w:eastAsia="Times New Roman" w:hAnsiTheme="majorHAnsi" w:cs="Times New Roman"/>
          <w:b/>
        </w:rPr>
        <w:t>)</w:t>
      </w:r>
    </w:p>
    <w:p w:rsidR="00A30F91" w:rsidRDefault="00A30F91" w:rsidP="00A30F91">
      <w:pPr>
        <w:pStyle w:val="NoSpacing"/>
        <w:ind w:left="360"/>
        <w:rPr>
          <w:rFonts w:asciiTheme="majorHAnsi" w:eastAsia="Times New Roman" w:hAnsiTheme="majorHAnsi" w:cs="Times New Roman"/>
        </w:rPr>
      </w:pPr>
      <w:r>
        <w:rPr>
          <w:rFonts w:asciiTheme="majorHAnsi" w:eastAsia="Times New Roman" w:hAnsiTheme="majorHAnsi" w:cs="Times New Roman"/>
        </w:rPr>
        <w:t>S</w:t>
      </w:r>
      <w:r w:rsidRPr="00875D95">
        <w:rPr>
          <w:rFonts w:asciiTheme="majorHAnsi" w:eastAsia="Times New Roman" w:hAnsiTheme="majorHAnsi" w:cs="Times New Roman"/>
        </w:rPr>
        <w:t>erve a significantly disproportionate number of low-income patients and receive payments from the Centers for Medicaid and Medicare Services to cover the costs of providing care to uninsured patients.</w:t>
      </w:r>
    </w:p>
    <w:p w:rsidR="00875D95" w:rsidRDefault="00875D95" w:rsidP="00FC5E39">
      <w:pPr>
        <w:pStyle w:val="NoSpacing"/>
        <w:numPr>
          <w:ilvl w:val="0"/>
          <w:numId w:val="12"/>
        </w:numPr>
        <w:ind w:left="360"/>
        <w:rPr>
          <w:rFonts w:asciiTheme="majorHAnsi" w:hAnsiTheme="majorHAnsi"/>
        </w:rPr>
      </w:pPr>
      <w:r w:rsidRPr="00D61BFF">
        <w:rPr>
          <w:rFonts w:asciiTheme="majorHAnsi" w:hAnsiTheme="majorHAnsi"/>
          <w:b/>
        </w:rPr>
        <w:t>DSRIP Menu</w:t>
      </w:r>
      <w:r w:rsidRPr="00D61BFF">
        <w:rPr>
          <w:rFonts w:asciiTheme="majorHAnsi" w:hAnsiTheme="majorHAnsi"/>
        </w:rPr>
        <w:t xml:space="preserve"> (</w:t>
      </w:r>
      <w:r w:rsidRPr="00D61BFF">
        <w:rPr>
          <w:rFonts w:asciiTheme="majorHAnsi" w:hAnsiTheme="majorHAnsi"/>
          <w:b/>
        </w:rPr>
        <w:t>RHP Planning Protocol</w:t>
      </w:r>
      <w:r w:rsidRPr="00D61BFF">
        <w:rPr>
          <w:rFonts w:asciiTheme="majorHAnsi" w:hAnsiTheme="majorHAnsi"/>
        </w:rPr>
        <w:t>)</w:t>
      </w:r>
    </w:p>
    <w:p w:rsidR="00875D95" w:rsidRPr="00D61BFF" w:rsidRDefault="00875D95" w:rsidP="00FC5E39">
      <w:pPr>
        <w:pStyle w:val="NoSpacing"/>
        <w:ind w:left="360"/>
        <w:rPr>
          <w:rFonts w:asciiTheme="majorHAnsi" w:hAnsiTheme="majorHAnsi"/>
        </w:rPr>
      </w:pPr>
      <w:r w:rsidRPr="00D61BFF">
        <w:rPr>
          <w:rFonts w:asciiTheme="majorHAnsi" w:hAnsiTheme="majorHAnsi"/>
        </w:rPr>
        <w:t>A menu of HHSC- and CMS-approved projects that contribute to delivery transformation and quality improvement.</w:t>
      </w:r>
      <w:r>
        <w:rPr>
          <w:rFonts w:asciiTheme="majorHAnsi" w:hAnsiTheme="majorHAnsi"/>
        </w:rPr>
        <w:t xml:space="preserve"> </w:t>
      </w:r>
      <w:r w:rsidRPr="003F2EFA">
        <w:rPr>
          <w:rFonts w:asciiTheme="majorHAnsi" w:hAnsiTheme="majorHAnsi"/>
        </w:rPr>
        <w:t>Only projects from this menu performed as outlined in an HHSC and CMS-approved RHP plan with corresponding metrics and milestones are eligible for payments from the DSRIP pool.</w:t>
      </w:r>
    </w:p>
    <w:p w:rsidR="00875D95" w:rsidRPr="00875D95" w:rsidRDefault="00875D95" w:rsidP="00FC5E39">
      <w:pPr>
        <w:pStyle w:val="NoSpacing"/>
        <w:numPr>
          <w:ilvl w:val="0"/>
          <w:numId w:val="12"/>
        </w:numPr>
        <w:ind w:left="360"/>
        <w:rPr>
          <w:rFonts w:asciiTheme="majorHAnsi" w:eastAsia="Times New Roman" w:hAnsiTheme="majorHAnsi" w:cs="Times New Roman"/>
          <w:b/>
        </w:rPr>
      </w:pPr>
      <w:r w:rsidRPr="00875D95">
        <w:rPr>
          <w:rFonts w:asciiTheme="majorHAnsi" w:eastAsia="Times New Roman" w:hAnsiTheme="majorHAnsi" w:cs="Times New Roman"/>
          <w:b/>
        </w:rPr>
        <w:t>Federal Financial Participation (FFP)</w:t>
      </w:r>
    </w:p>
    <w:p w:rsidR="00875D95" w:rsidRDefault="00875D95" w:rsidP="00FC5E39">
      <w:pPr>
        <w:pStyle w:val="NoSpacing"/>
        <w:ind w:left="360"/>
        <w:rPr>
          <w:rFonts w:asciiTheme="majorHAnsi" w:eastAsia="Times New Roman" w:hAnsiTheme="majorHAnsi" w:cs="Times New Roman"/>
        </w:rPr>
      </w:pPr>
      <w:r w:rsidRPr="00875D95">
        <w:rPr>
          <w:rFonts w:asciiTheme="majorHAnsi" w:eastAsia="Times New Roman" w:hAnsiTheme="majorHAnsi" w:cs="Times New Roman"/>
        </w:rPr>
        <w:t>That portion paid by the Federal government to states for their share of expenditures for providing Medicaid</w:t>
      </w:r>
      <w:r>
        <w:rPr>
          <w:rFonts w:asciiTheme="majorHAnsi" w:eastAsia="Times New Roman" w:hAnsiTheme="majorHAnsi" w:cs="Times New Roman"/>
        </w:rPr>
        <w:t xml:space="preserve"> </w:t>
      </w:r>
      <w:r w:rsidRPr="00875D95">
        <w:rPr>
          <w:rFonts w:asciiTheme="majorHAnsi" w:eastAsia="Times New Roman" w:hAnsiTheme="majorHAnsi" w:cs="Times New Roman"/>
        </w:rPr>
        <w:t>services, administering the Medicaid program, and certain other human service programs.</w:t>
      </w:r>
    </w:p>
    <w:p w:rsidR="00875D95" w:rsidRPr="000C7A49" w:rsidRDefault="00875D95" w:rsidP="00FC5E39">
      <w:pPr>
        <w:pStyle w:val="NoSpacing"/>
        <w:numPr>
          <w:ilvl w:val="0"/>
          <w:numId w:val="12"/>
        </w:numPr>
        <w:ind w:left="360"/>
        <w:rPr>
          <w:rFonts w:asciiTheme="majorHAnsi" w:eastAsia="Times New Roman" w:hAnsiTheme="majorHAnsi" w:cs="Times New Roman"/>
          <w:b/>
        </w:rPr>
      </w:pPr>
      <w:r w:rsidRPr="000C7A49">
        <w:rPr>
          <w:rFonts w:asciiTheme="majorHAnsi" w:eastAsia="Times New Roman" w:hAnsiTheme="majorHAnsi" w:cs="Times New Roman"/>
          <w:b/>
        </w:rPr>
        <w:t>Federal Medical Assistance Percentage (FMAP</w:t>
      </w:r>
      <w:r w:rsidR="00B651C0">
        <w:rPr>
          <w:rFonts w:asciiTheme="majorHAnsi" w:eastAsia="Times New Roman" w:hAnsiTheme="majorHAnsi" w:cs="Times New Roman"/>
          <w:b/>
        </w:rPr>
        <w:t xml:space="preserve"> – </w:t>
      </w:r>
      <w:r w:rsidR="00B651C0" w:rsidRPr="00B651C0">
        <w:rPr>
          <w:rFonts w:asciiTheme="majorHAnsi" w:eastAsia="Times New Roman" w:hAnsiTheme="majorHAnsi" w:cs="Times New Roman"/>
        </w:rPr>
        <w:t>pronounced “f-map”</w:t>
      </w:r>
      <w:r w:rsidRPr="000C7A49">
        <w:rPr>
          <w:rFonts w:asciiTheme="majorHAnsi" w:eastAsia="Times New Roman" w:hAnsiTheme="majorHAnsi" w:cs="Times New Roman"/>
          <w:b/>
        </w:rPr>
        <w:t>)</w:t>
      </w:r>
    </w:p>
    <w:p w:rsidR="00875D95" w:rsidRDefault="00875D95" w:rsidP="00FC5E39">
      <w:pPr>
        <w:pStyle w:val="NoSpacing"/>
        <w:ind w:left="360"/>
        <w:rPr>
          <w:rFonts w:asciiTheme="majorHAnsi" w:eastAsia="Times New Roman" w:hAnsiTheme="majorHAnsi" w:cs="Times New Roman"/>
        </w:rPr>
      </w:pPr>
      <w:proofErr w:type="gramStart"/>
      <w:r w:rsidRPr="000C7A49">
        <w:rPr>
          <w:rFonts w:asciiTheme="majorHAnsi" w:eastAsia="Times New Roman" w:hAnsiTheme="majorHAnsi" w:cs="Times New Roman"/>
        </w:rPr>
        <w:t>A</w:t>
      </w:r>
      <w:r>
        <w:rPr>
          <w:rFonts w:asciiTheme="majorHAnsi" w:eastAsia="Times New Roman" w:hAnsiTheme="majorHAnsi" w:cs="Times New Roman"/>
        </w:rPr>
        <w:t>nnual change in the federal/state funding ratio; published each November by the federal government.</w:t>
      </w:r>
      <w:proofErr w:type="gramEnd"/>
    </w:p>
    <w:p w:rsidR="00875D95" w:rsidRPr="00875D95" w:rsidRDefault="00875D95" w:rsidP="00FC5E39">
      <w:pPr>
        <w:pStyle w:val="NoSpacing"/>
        <w:numPr>
          <w:ilvl w:val="0"/>
          <w:numId w:val="12"/>
        </w:numPr>
        <w:ind w:left="360"/>
        <w:rPr>
          <w:rFonts w:asciiTheme="majorHAnsi" w:eastAsia="Times New Roman" w:hAnsiTheme="majorHAnsi" w:cs="Times New Roman"/>
          <w:b/>
        </w:rPr>
      </w:pPr>
      <w:r w:rsidRPr="00875D95">
        <w:rPr>
          <w:rFonts w:asciiTheme="majorHAnsi" w:eastAsia="Times New Roman" w:hAnsiTheme="majorHAnsi" w:cs="Times New Roman"/>
          <w:b/>
        </w:rPr>
        <w:t>Federal Poverty Level (FPL)</w:t>
      </w:r>
    </w:p>
    <w:p w:rsidR="00875D95" w:rsidRDefault="00875D95" w:rsidP="00FC5E39">
      <w:pPr>
        <w:pStyle w:val="NoSpacing"/>
        <w:ind w:left="360"/>
        <w:rPr>
          <w:rFonts w:asciiTheme="majorHAnsi" w:eastAsia="Times New Roman" w:hAnsiTheme="majorHAnsi" w:cs="Times New Roman"/>
        </w:rPr>
      </w:pPr>
      <w:proofErr w:type="gramStart"/>
      <w:r w:rsidRPr="00875D95">
        <w:rPr>
          <w:rFonts w:asciiTheme="majorHAnsi" w:eastAsia="Times New Roman" w:hAnsiTheme="majorHAnsi" w:cs="Times New Roman"/>
        </w:rPr>
        <w:t>The set minimum amount of gross income that a family needs for food, clothing, transportation, shelter and other necessities.</w:t>
      </w:r>
      <w:proofErr w:type="gramEnd"/>
      <w:r w:rsidRPr="00875D95">
        <w:rPr>
          <w:rFonts w:asciiTheme="majorHAnsi" w:eastAsia="Times New Roman" w:hAnsiTheme="majorHAnsi" w:cs="Times New Roman"/>
        </w:rPr>
        <w:t xml:space="preserve"> In the United States, this level is determined by the Department of Health and Human Services.</w:t>
      </w:r>
    </w:p>
    <w:p w:rsidR="00D61BFF" w:rsidRDefault="00926C6B" w:rsidP="00FC5E39">
      <w:pPr>
        <w:pStyle w:val="NoSpacing"/>
        <w:numPr>
          <w:ilvl w:val="0"/>
          <w:numId w:val="12"/>
        </w:numPr>
        <w:ind w:left="360"/>
        <w:rPr>
          <w:rFonts w:asciiTheme="majorHAnsi" w:hAnsiTheme="majorHAnsi"/>
        </w:rPr>
      </w:pPr>
      <w:r w:rsidRPr="00926C6B">
        <w:rPr>
          <w:rFonts w:asciiTheme="majorHAnsi" w:hAnsiTheme="majorHAnsi"/>
          <w:b/>
        </w:rPr>
        <w:t>Health and Human Services Commission  (</w:t>
      </w:r>
      <w:r w:rsidR="002721DE" w:rsidRPr="00926C6B">
        <w:rPr>
          <w:rFonts w:asciiTheme="majorHAnsi" w:hAnsiTheme="majorHAnsi"/>
          <w:b/>
        </w:rPr>
        <w:t>H</w:t>
      </w:r>
      <w:r w:rsidR="00034CB7" w:rsidRPr="00926C6B">
        <w:rPr>
          <w:rFonts w:asciiTheme="majorHAnsi" w:hAnsiTheme="majorHAnsi"/>
          <w:b/>
        </w:rPr>
        <w:t>HS</w:t>
      </w:r>
      <w:r w:rsidR="00034CB7" w:rsidRPr="00D61BFF">
        <w:rPr>
          <w:rFonts w:asciiTheme="majorHAnsi" w:hAnsiTheme="majorHAnsi"/>
          <w:b/>
        </w:rPr>
        <w:t>C</w:t>
      </w:r>
      <w:r>
        <w:rPr>
          <w:rFonts w:asciiTheme="majorHAnsi" w:hAnsiTheme="majorHAnsi"/>
          <w:b/>
        </w:rPr>
        <w:t>)</w:t>
      </w:r>
    </w:p>
    <w:p w:rsidR="005E048F" w:rsidRPr="00D61BFF" w:rsidRDefault="00875D95" w:rsidP="00FC5E39">
      <w:pPr>
        <w:pStyle w:val="NoSpacing"/>
        <w:ind w:left="360"/>
        <w:rPr>
          <w:rFonts w:asciiTheme="majorHAnsi" w:hAnsiTheme="majorHAnsi"/>
        </w:rPr>
      </w:pPr>
      <w:r>
        <w:rPr>
          <w:rFonts w:asciiTheme="majorHAnsi" w:hAnsiTheme="majorHAnsi"/>
        </w:rPr>
        <w:t xml:space="preserve">Texas </w:t>
      </w:r>
      <w:r w:rsidR="002721DE" w:rsidRPr="00D61BFF">
        <w:rPr>
          <w:rFonts w:asciiTheme="majorHAnsi" w:hAnsiTheme="majorHAnsi"/>
        </w:rPr>
        <w:t>HHSC is responsible for working with CMS to design and implement the 1115 Waiver.</w:t>
      </w:r>
    </w:p>
    <w:p w:rsidR="00111AB2" w:rsidRDefault="00111AB2" w:rsidP="00111AB2">
      <w:pPr>
        <w:pStyle w:val="NoSpacing"/>
        <w:ind w:left="360"/>
        <w:rPr>
          <w:rFonts w:asciiTheme="majorHAnsi" w:eastAsia="Times New Roman" w:hAnsiTheme="majorHAnsi" w:cs="Times New Roman"/>
          <w:b/>
        </w:rPr>
      </w:pPr>
    </w:p>
    <w:p w:rsidR="00111AB2" w:rsidRDefault="00111AB2" w:rsidP="00111AB2">
      <w:pPr>
        <w:pStyle w:val="NoSpacing"/>
        <w:ind w:left="360"/>
        <w:rPr>
          <w:rFonts w:asciiTheme="majorHAnsi" w:eastAsia="Times New Roman" w:hAnsiTheme="majorHAnsi" w:cs="Times New Roman"/>
          <w:b/>
        </w:rPr>
      </w:pPr>
    </w:p>
    <w:p w:rsidR="00875D95" w:rsidRPr="00875D95" w:rsidRDefault="00875D95" w:rsidP="00FC5E39">
      <w:pPr>
        <w:pStyle w:val="NoSpacing"/>
        <w:numPr>
          <w:ilvl w:val="0"/>
          <w:numId w:val="12"/>
        </w:numPr>
        <w:ind w:left="360"/>
        <w:rPr>
          <w:rFonts w:asciiTheme="majorHAnsi" w:eastAsia="Times New Roman" w:hAnsiTheme="majorHAnsi" w:cs="Times New Roman"/>
          <w:b/>
        </w:rPr>
      </w:pPr>
      <w:r w:rsidRPr="00875D95">
        <w:rPr>
          <w:rFonts w:asciiTheme="majorHAnsi" w:eastAsia="Times New Roman" w:hAnsiTheme="majorHAnsi" w:cs="Times New Roman"/>
          <w:b/>
        </w:rPr>
        <w:lastRenderedPageBreak/>
        <w:t>Health Professional Shortage Area (HPSA)</w:t>
      </w:r>
    </w:p>
    <w:p w:rsidR="00FC5E39" w:rsidRPr="00111AB2" w:rsidRDefault="00875D95" w:rsidP="00111AB2">
      <w:pPr>
        <w:pStyle w:val="NoSpacing"/>
        <w:ind w:left="360"/>
        <w:rPr>
          <w:rFonts w:asciiTheme="majorHAnsi" w:eastAsia="Times New Roman" w:hAnsiTheme="majorHAnsi" w:cs="Times New Roman"/>
        </w:rPr>
      </w:pPr>
      <w:r>
        <w:rPr>
          <w:rFonts w:asciiTheme="majorHAnsi" w:eastAsia="Times New Roman" w:hAnsiTheme="majorHAnsi" w:cs="Times New Roman"/>
        </w:rPr>
        <w:t>D</w:t>
      </w:r>
      <w:r w:rsidRPr="00875D95">
        <w:rPr>
          <w:rFonts w:asciiTheme="majorHAnsi" w:eastAsia="Times New Roman" w:hAnsiTheme="majorHAnsi" w:cs="Times New Roman"/>
        </w:rPr>
        <w:t xml:space="preserve">esignated by </w:t>
      </w:r>
      <w:r>
        <w:rPr>
          <w:rFonts w:asciiTheme="majorHAnsi" w:eastAsia="Times New Roman" w:hAnsiTheme="majorHAnsi" w:cs="Times New Roman"/>
        </w:rPr>
        <w:t xml:space="preserve">U.S. Department of Health and Human Services Health Resources and Services Administration (HRSA) </w:t>
      </w:r>
      <w:r w:rsidRPr="00875D95">
        <w:rPr>
          <w:rFonts w:asciiTheme="majorHAnsi" w:eastAsia="Times New Roman" w:hAnsiTheme="majorHAnsi" w:cs="Times New Roman"/>
        </w:rPr>
        <w:t>as having shortages of primary medical care, dental or mental health providers and may be geographic (a county or service area), demographic (low income population) or institutional (comprehensive health center, federally qualified health center or other public facility). Medically Underserved Areas/Populations are areas or populations designated by HRSA as having: too few primary care providers, high infant mortality, high poverty and/or high elderly population</w:t>
      </w:r>
      <w:r>
        <w:rPr>
          <w:rFonts w:asciiTheme="majorHAnsi" w:eastAsia="Times New Roman" w:hAnsiTheme="majorHAnsi" w:cs="Times New Roman"/>
        </w:rPr>
        <w:t>.</w:t>
      </w:r>
    </w:p>
    <w:p w:rsidR="00D61BFF" w:rsidRPr="00926C6B" w:rsidRDefault="003F2EFA" w:rsidP="00FC5E39">
      <w:pPr>
        <w:pStyle w:val="NoSpacing"/>
        <w:numPr>
          <w:ilvl w:val="0"/>
          <w:numId w:val="12"/>
        </w:numPr>
        <w:ind w:left="360"/>
        <w:rPr>
          <w:rFonts w:asciiTheme="majorHAnsi" w:eastAsia="Cambria" w:hAnsiTheme="majorHAnsi" w:cs="Times New Roman"/>
          <w:b/>
        </w:rPr>
      </w:pPr>
      <w:r w:rsidRPr="00926C6B">
        <w:rPr>
          <w:rFonts w:asciiTheme="majorHAnsi" w:hAnsiTheme="majorHAnsi"/>
          <w:b/>
        </w:rPr>
        <w:t>Intergovernmental Transfer  (</w:t>
      </w:r>
      <w:r w:rsidR="00034CB7" w:rsidRPr="00926C6B">
        <w:rPr>
          <w:rFonts w:asciiTheme="majorHAnsi" w:hAnsiTheme="majorHAnsi"/>
          <w:b/>
        </w:rPr>
        <w:t>IGT</w:t>
      </w:r>
      <w:r w:rsidRPr="00926C6B">
        <w:rPr>
          <w:rFonts w:asciiTheme="majorHAnsi" w:hAnsiTheme="majorHAnsi"/>
          <w:b/>
        </w:rPr>
        <w:t>)</w:t>
      </w:r>
    </w:p>
    <w:p w:rsidR="005E048F" w:rsidRPr="00D61BFF" w:rsidRDefault="005E048F" w:rsidP="00FC5E39">
      <w:pPr>
        <w:pStyle w:val="NoSpacing"/>
        <w:ind w:left="360"/>
        <w:rPr>
          <w:rFonts w:asciiTheme="majorHAnsi" w:eastAsia="Cambria" w:hAnsiTheme="majorHAnsi" w:cs="Times New Roman"/>
        </w:rPr>
      </w:pPr>
      <w:r w:rsidRPr="00D61BFF">
        <w:rPr>
          <w:rFonts w:asciiTheme="majorHAnsi" w:eastAsia="Cambria" w:hAnsiTheme="majorHAnsi" w:cs="Times New Roman"/>
        </w:rPr>
        <w:t xml:space="preserve">State and local funds derived from taxes, assessments, levies, investments, and other public revenues within the sole and unrestricted control of a governmental entity and eligible for federal match under the 1115 Transformation </w:t>
      </w:r>
      <w:r w:rsidR="00206EFF" w:rsidRPr="00D61BFF">
        <w:rPr>
          <w:rFonts w:asciiTheme="majorHAnsi" w:eastAsia="Cambria" w:hAnsiTheme="majorHAnsi" w:cs="Times New Roman"/>
        </w:rPr>
        <w:t>W</w:t>
      </w:r>
      <w:r w:rsidRPr="00D61BFF">
        <w:rPr>
          <w:rFonts w:asciiTheme="majorHAnsi" w:eastAsia="Cambria" w:hAnsiTheme="majorHAnsi" w:cs="Times New Roman"/>
        </w:rPr>
        <w:t>aiver.  This does not include gifts, grants, trusts, or donations, the use of which is conditioned on supplying a benefit solely to the donor or grantor of the funds.</w:t>
      </w:r>
    </w:p>
    <w:p w:rsidR="00875D95" w:rsidRDefault="00875D95" w:rsidP="00FC5E39">
      <w:pPr>
        <w:pStyle w:val="NoSpacing"/>
        <w:numPr>
          <w:ilvl w:val="0"/>
          <w:numId w:val="12"/>
        </w:numPr>
        <w:ind w:left="360"/>
        <w:rPr>
          <w:rFonts w:asciiTheme="majorHAnsi" w:hAnsiTheme="majorHAnsi"/>
        </w:rPr>
      </w:pPr>
      <w:r w:rsidRPr="00D61BFF">
        <w:rPr>
          <w:rFonts w:asciiTheme="majorHAnsi" w:hAnsiTheme="majorHAnsi"/>
          <w:b/>
        </w:rPr>
        <w:t>Intergovernmental Transfer (IGT) Entity</w:t>
      </w:r>
    </w:p>
    <w:p w:rsidR="00875D95" w:rsidRPr="00D61BFF" w:rsidRDefault="00875D95" w:rsidP="00FC5E39">
      <w:pPr>
        <w:pStyle w:val="NoSpacing"/>
        <w:ind w:left="360"/>
        <w:rPr>
          <w:rFonts w:asciiTheme="majorHAnsi" w:hAnsiTheme="majorHAnsi"/>
        </w:rPr>
      </w:pPr>
      <w:proofErr w:type="gramStart"/>
      <w:r w:rsidRPr="00D61BFF">
        <w:rPr>
          <w:rFonts w:asciiTheme="majorHAnsi" w:hAnsiTheme="majorHAnsi"/>
        </w:rPr>
        <w:t xml:space="preserve">A governmental entity that provides an IGT to fund the </w:t>
      </w:r>
      <w:r>
        <w:rPr>
          <w:rFonts w:asciiTheme="majorHAnsi" w:hAnsiTheme="majorHAnsi"/>
        </w:rPr>
        <w:t>W</w:t>
      </w:r>
      <w:r w:rsidRPr="00D61BFF">
        <w:rPr>
          <w:rFonts w:asciiTheme="majorHAnsi" w:hAnsiTheme="majorHAnsi"/>
        </w:rPr>
        <w:t>aiver.</w:t>
      </w:r>
      <w:proofErr w:type="gramEnd"/>
      <w:r>
        <w:rPr>
          <w:rFonts w:asciiTheme="majorHAnsi" w:hAnsiTheme="majorHAnsi"/>
        </w:rPr>
        <w:t xml:space="preserve"> </w:t>
      </w:r>
      <w:r w:rsidRPr="00926C6B">
        <w:rPr>
          <w:rFonts w:asciiTheme="majorHAnsi" w:hAnsiTheme="majorHAnsi"/>
        </w:rPr>
        <w:t>A state agency or a political subdivision of the state—such as a city, county, hospital district, hospital authority, or state entity—with IGT eligible for federal match to fund an RHP’s UC or DSRIP.</w:t>
      </w:r>
    </w:p>
    <w:p w:rsidR="00A30F91" w:rsidRPr="00926C6B" w:rsidRDefault="00A30F91" w:rsidP="00A30F91">
      <w:pPr>
        <w:pStyle w:val="NoSpacing"/>
        <w:numPr>
          <w:ilvl w:val="0"/>
          <w:numId w:val="12"/>
        </w:numPr>
        <w:ind w:left="360"/>
        <w:rPr>
          <w:rFonts w:asciiTheme="majorHAnsi" w:hAnsiTheme="majorHAnsi"/>
          <w:b/>
        </w:rPr>
      </w:pPr>
      <w:r w:rsidRPr="00926C6B">
        <w:rPr>
          <w:rFonts w:asciiTheme="majorHAnsi" w:hAnsiTheme="majorHAnsi"/>
          <w:b/>
        </w:rPr>
        <w:t xml:space="preserve">Medicaid </w:t>
      </w:r>
      <w:r>
        <w:rPr>
          <w:rFonts w:asciiTheme="majorHAnsi" w:hAnsiTheme="majorHAnsi"/>
          <w:b/>
        </w:rPr>
        <w:t>M</w:t>
      </w:r>
      <w:r w:rsidRPr="00926C6B">
        <w:rPr>
          <w:rFonts w:asciiTheme="majorHAnsi" w:hAnsiTheme="majorHAnsi"/>
          <w:b/>
        </w:rPr>
        <w:t xml:space="preserve">anaged </w:t>
      </w:r>
      <w:r>
        <w:rPr>
          <w:rFonts w:asciiTheme="majorHAnsi" w:hAnsiTheme="majorHAnsi"/>
          <w:b/>
        </w:rPr>
        <w:t>C</w:t>
      </w:r>
      <w:r w:rsidRPr="00926C6B">
        <w:rPr>
          <w:rFonts w:asciiTheme="majorHAnsi" w:hAnsiTheme="majorHAnsi"/>
          <w:b/>
        </w:rPr>
        <w:t>are</w:t>
      </w:r>
    </w:p>
    <w:p w:rsidR="00A30F91" w:rsidRDefault="00A30F91" w:rsidP="00A30F91">
      <w:pPr>
        <w:pStyle w:val="NoSpacing"/>
        <w:ind w:left="360"/>
        <w:rPr>
          <w:rFonts w:asciiTheme="majorHAnsi" w:hAnsiTheme="majorHAnsi"/>
        </w:rPr>
      </w:pPr>
      <w:proofErr w:type="gramStart"/>
      <w:r w:rsidRPr="00926C6B">
        <w:rPr>
          <w:rFonts w:asciiTheme="majorHAnsi" w:hAnsiTheme="majorHAnsi"/>
        </w:rPr>
        <w:t>A system under which the state pays a set fee each month to a health plan to provide care for a Medicaid client, who selects a primary doctor from the plan’s network to coordinate care.</w:t>
      </w:r>
      <w:proofErr w:type="gramEnd"/>
      <w:r w:rsidRPr="00926C6B">
        <w:rPr>
          <w:rFonts w:asciiTheme="majorHAnsi" w:hAnsiTheme="majorHAnsi"/>
        </w:rPr>
        <w:t xml:space="preserve"> This differs from a traditional fee-for-service system that bases provider payment on quantity of service rather than quality.  In 2011, the Texas Legislature directed HHSC to expand managed care within the state Medicaid program with the goal of achieving high-quality, cost-effective health care.</w:t>
      </w:r>
    </w:p>
    <w:p w:rsidR="00875D95" w:rsidRPr="00D61BFF" w:rsidRDefault="00875D95" w:rsidP="00FC5E39">
      <w:pPr>
        <w:pStyle w:val="NoSpacing"/>
        <w:numPr>
          <w:ilvl w:val="0"/>
          <w:numId w:val="12"/>
        </w:numPr>
        <w:ind w:left="360"/>
        <w:rPr>
          <w:rFonts w:asciiTheme="majorHAnsi" w:hAnsiTheme="majorHAnsi"/>
        </w:rPr>
      </w:pPr>
      <w:r w:rsidRPr="00D61BFF">
        <w:rPr>
          <w:rFonts w:asciiTheme="majorHAnsi" w:hAnsiTheme="majorHAnsi"/>
          <w:b/>
        </w:rPr>
        <w:t>Metric</w:t>
      </w:r>
    </w:p>
    <w:p w:rsidR="00875D95" w:rsidRPr="00D61BFF" w:rsidRDefault="00875D95" w:rsidP="00FC5E39">
      <w:pPr>
        <w:pStyle w:val="NoSpacing"/>
        <w:ind w:left="360"/>
        <w:rPr>
          <w:rFonts w:asciiTheme="majorHAnsi" w:hAnsiTheme="majorHAnsi"/>
        </w:rPr>
      </w:pPr>
      <w:proofErr w:type="gramStart"/>
      <w:r w:rsidRPr="00D61BFF">
        <w:rPr>
          <w:rFonts w:asciiTheme="majorHAnsi" w:hAnsiTheme="majorHAnsi"/>
        </w:rPr>
        <w:t>Quantitative or qualitative indicator of progress toward achieving a milestone from a baseline.</w:t>
      </w:r>
      <w:proofErr w:type="gramEnd"/>
    </w:p>
    <w:p w:rsidR="00875D95" w:rsidRPr="00D61BFF" w:rsidRDefault="00875D95" w:rsidP="00FC5E39">
      <w:pPr>
        <w:pStyle w:val="NoSpacing"/>
        <w:numPr>
          <w:ilvl w:val="0"/>
          <w:numId w:val="12"/>
        </w:numPr>
        <w:ind w:left="360"/>
        <w:rPr>
          <w:rFonts w:asciiTheme="majorHAnsi" w:hAnsiTheme="majorHAnsi"/>
        </w:rPr>
      </w:pPr>
      <w:r w:rsidRPr="00D61BFF">
        <w:rPr>
          <w:rFonts w:asciiTheme="majorHAnsi" w:hAnsiTheme="majorHAnsi"/>
          <w:b/>
        </w:rPr>
        <w:t>Milestone</w:t>
      </w:r>
    </w:p>
    <w:p w:rsidR="00875D95" w:rsidRPr="00D61BFF" w:rsidRDefault="00875D95" w:rsidP="00FC5E39">
      <w:pPr>
        <w:pStyle w:val="NoSpacing"/>
        <w:ind w:left="360"/>
        <w:rPr>
          <w:rFonts w:asciiTheme="majorHAnsi" w:hAnsiTheme="majorHAnsi"/>
        </w:rPr>
      </w:pPr>
      <w:r w:rsidRPr="00D61BFF">
        <w:rPr>
          <w:rFonts w:asciiTheme="majorHAnsi" w:hAnsiTheme="majorHAnsi"/>
        </w:rPr>
        <w:t>An objective for DSRIP performance comprised of one or more metrics</w:t>
      </w:r>
      <w:r>
        <w:rPr>
          <w:rFonts w:asciiTheme="majorHAnsi" w:hAnsiTheme="majorHAnsi"/>
        </w:rPr>
        <w:t>.</w:t>
      </w:r>
    </w:p>
    <w:p w:rsidR="00D61BFF" w:rsidRDefault="00926C6B" w:rsidP="00FC5E39">
      <w:pPr>
        <w:pStyle w:val="NoSpacing"/>
        <w:numPr>
          <w:ilvl w:val="0"/>
          <w:numId w:val="12"/>
        </w:numPr>
        <w:ind w:left="360"/>
        <w:rPr>
          <w:rFonts w:asciiTheme="majorHAnsi" w:hAnsiTheme="majorHAnsi"/>
        </w:rPr>
      </w:pPr>
      <w:r w:rsidRPr="00926C6B">
        <w:rPr>
          <w:rFonts w:asciiTheme="majorHAnsi" w:hAnsiTheme="majorHAnsi"/>
          <w:b/>
        </w:rPr>
        <w:t xml:space="preserve">Needs more information </w:t>
      </w:r>
      <w:r w:rsidRPr="00926C6B">
        <w:rPr>
          <w:rFonts w:asciiTheme="majorHAnsi" w:hAnsiTheme="majorHAnsi"/>
        </w:rPr>
        <w:t>(</w:t>
      </w:r>
      <w:r w:rsidR="00034CB7" w:rsidRPr="00D61BFF">
        <w:rPr>
          <w:rFonts w:asciiTheme="majorHAnsi" w:hAnsiTheme="majorHAnsi"/>
          <w:b/>
        </w:rPr>
        <w:t>NMI</w:t>
      </w:r>
      <w:r w:rsidRPr="00926C6B">
        <w:rPr>
          <w:rFonts w:asciiTheme="majorHAnsi" w:hAnsiTheme="majorHAnsi"/>
        </w:rPr>
        <w:t>)</w:t>
      </w:r>
    </w:p>
    <w:p w:rsidR="002E3ED5" w:rsidRPr="00D61BFF" w:rsidRDefault="002E3ED5" w:rsidP="00FC5E39">
      <w:pPr>
        <w:pStyle w:val="NoSpacing"/>
        <w:ind w:left="360"/>
        <w:rPr>
          <w:rFonts w:asciiTheme="majorHAnsi" w:hAnsiTheme="majorHAnsi"/>
        </w:rPr>
      </w:pPr>
      <w:r w:rsidRPr="00D61BFF">
        <w:rPr>
          <w:rFonts w:asciiTheme="majorHAnsi" w:hAnsiTheme="majorHAnsi"/>
        </w:rPr>
        <w:t>The designation given to milestones submitted to HHSC that are not initially approved. Providers have one chance to submit additional supporting documentation for milestone approval. If HHSC does not approve the milestone following this submission, the incentive dollars associated with that milestone are lost.</w:t>
      </w:r>
    </w:p>
    <w:p w:rsidR="00A30F91" w:rsidRDefault="00A30F91" w:rsidP="00A30F91">
      <w:pPr>
        <w:pStyle w:val="NoSpacing"/>
        <w:numPr>
          <w:ilvl w:val="0"/>
          <w:numId w:val="12"/>
        </w:numPr>
        <w:ind w:left="360"/>
        <w:rPr>
          <w:rFonts w:asciiTheme="majorHAnsi" w:hAnsiTheme="majorHAnsi"/>
        </w:rPr>
      </w:pPr>
      <w:r w:rsidRPr="00926C6B">
        <w:rPr>
          <w:rFonts w:asciiTheme="majorHAnsi" w:hAnsiTheme="majorHAnsi"/>
          <w:b/>
        </w:rPr>
        <w:t>Performing Provide</w:t>
      </w:r>
      <w:r w:rsidRPr="00FC5E39">
        <w:rPr>
          <w:rFonts w:asciiTheme="majorHAnsi" w:hAnsiTheme="majorHAnsi"/>
          <w:b/>
        </w:rPr>
        <w:t>r (Provider)</w:t>
      </w:r>
    </w:p>
    <w:p w:rsidR="00A30F91" w:rsidRDefault="00A30F91" w:rsidP="00A30F91">
      <w:pPr>
        <w:pStyle w:val="NoSpacing"/>
        <w:ind w:left="360"/>
        <w:rPr>
          <w:rFonts w:asciiTheme="majorHAnsi" w:hAnsiTheme="majorHAnsi"/>
        </w:rPr>
      </w:pPr>
      <w:proofErr w:type="gramStart"/>
      <w:r w:rsidRPr="00D61BFF">
        <w:rPr>
          <w:rFonts w:asciiTheme="majorHAnsi" w:hAnsiTheme="majorHAnsi"/>
        </w:rPr>
        <w:t>A participating Medicaid provider that implements DSRIP projects.</w:t>
      </w:r>
      <w:proofErr w:type="gramEnd"/>
      <w:r w:rsidRPr="00D61BFF">
        <w:rPr>
          <w:rFonts w:asciiTheme="majorHAnsi" w:hAnsiTheme="majorHAnsi"/>
        </w:rPr>
        <w:t xml:space="preserve"> Eligible providers include hospitals, community mental health centers, physician providers affiliated with a medical school, and local health departments.</w:t>
      </w:r>
    </w:p>
    <w:p w:rsidR="00875D95" w:rsidRPr="00875D95" w:rsidRDefault="00875D95" w:rsidP="00FC5E39">
      <w:pPr>
        <w:pStyle w:val="NoSpacing"/>
        <w:numPr>
          <w:ilvl w:val="0"/>
          <w:numId w:val="12"/>
        </w:numPr>
        <w:ind w:left="360"/>
        <w:rPr>
          <w:rFonts w:asciiTheme="majorHAnsi" w:eastAsia="Times New Roman" w:hAnsiTheme="majorHAnsi" w:cs="Times New Roman"/>
          <w:b/>
        </w:rPr>
      </w:pPr>
      <w:r w:rsidRPr="00875D95">
        <w:rPr>
          <w:rFonts w:asciiTheme="majorHAnsi" w:eastAsia="Times New Roman" w:hAnsiTheme="majorHAnsi" w:cs="Times New Roman"/>
          <w:b/>
        </w:rPr>
        <w:t>Primary Care Case Management (PCCM)</w:t>
      </w:r>
    </w:p>
    <w:p w:rsidR="00875D95" w:rsidRDefault="00875D95" w:rsidP="00FC5E39">
      <w:pPr>
        <w:pStyle w:val="NoSpacing"/>
        <w:ind w:left="360"/>
        <w:rPr>
          <w:rFonts w:asciiTheme="majorHAnsi" w:eastAsia="Times New Roman" w:hAnsiTheme="majorHAnsi" w:cs="Times New Roman"/>
        </w:rPr>
      </w:pPr>
      <w:r>
        <w:rPr>
          <w:rFonts w:asciiTheme="majorHAnsi" w:eastAsia="Times New Roman" w:hAnsiTheme="majorHAnsi" w:cs="Times New Roman"/>
        </w:rPr>
        <w:t>A</w:t>
      </w:r>
      <w:r w:rsidRPr="00875D95">
        <w:rPr>
          <w:rFonts w:asciiTheme="majorHAnsi" w:eastAsia="Times New Roman" w:hAnsiTheme="majorHAnsi" w:cs="Times New Roman"/>
        </w:rPr>
        <w:t xml:space="preserve"> system of managed care used by state Medicaid agencies in which a primary care provider is responsible for approving and monitoring the care of enrolled Medicaid beneficiaries, typically for a small monthly case management fee in addition to fee-for-service reimbursement for treatment.</w:t>
      </w:r>
    </w:p>
    <w:p w:rsidR="00D61BFF" w:rsidRPr="00926C6B" w:rsidRDefault="00926C6B" w:rsidP="00FC5E39">
      <w:pPr>
        <w:pStyle w:val="NoSpacing"/>
        <w:numPr>
          <w:ilvl w:val="0"/>
          <w:numId w:val="12"/>
        </w:numPr>
        <w:ind w:left="360"/>
        <w:rPr>
          <w:rFonts w:asciiTheme="majorHAnsi" w:hAnsiTheme="majorHAnsi"/>
          <w:b/>
        </w:rPr>
      </w:pPr>
      <w:r w:rsidRPr="00926C6B">
        <w:rPr>
          <w:rFonts w:asciiTheme="majorHAnsi" w:hAnsiTheme="majorHAnsi"/>
          <w:b/>
        </w:rPr>
        <w:t>Program Funding and Mechanics Protocol (</w:t>
      </w:r>
      <w:r w:rsidR="00034CB7" w:rsidRPr="00926C6B">
        <w:rPr>
          <w:rFonts w:asciiTheme="majorHAnsi" w:hAnsiTheme="majorHAnsi"/>
          <w:b/>
        </w:rPr>
        <w:t>PFM</w:t>
      </w:r>
      <w:r w:rsidRPr="00926C6B">
        <w:rPr>
          <w:rFonts w:asciiTheme="majorHAnsi" w:hAnsiTheme="majorHAnsi"/>
          <w:b/>
        </w:rPr>
        <w:t>)</w:t>
      </w:r>
    </w:p>
    <w:p w:rsidR="002E3ED5" w:rsidRPr="00D61BFF" w:rsidRDefault="00926C6B" w:rsidP="00FC5E39">
      <w:pPr>
        <w:pStyle w:val="NoSpacing"/>
        <w:ind w:left="360"/>
        <w:rPr>
          <w:rFonts w:asciiTheme="majorHAnsi" w:hAnsiTheme="majorHAnsi"/>
        </w:rPr>
      </w:pPr>
      <w:r w:rsidRPr="00926C6B">
        <w:rPr>
          <w:rFonts w:asciiTheme="majorHAnsi" w:hAnsiTheme="majorHAnsi"/>
        </w:rPr>
        <w:t>A document, drafted by HHSC and pending CMS approval, outlining DSRIP requirements for RHPs including the minimum number of projects, organization of the RHP Plan, plan review process, required reporting, allocation of available pool funds, valuation of projects, disbursement of funds, and plan modifications.</w:t>
      </w:r>
      <w:r>
        <w:rPr>
          <w:rFonts w:asciiTheme="majorHAnsi" w:hAnsiTheme="majorHAnsi"/>
        </w:rPr>
        <w:t xml:space="preserve"> </w:t>
      </w:r>
      <w:proofErr w:type="gramStart"/>
      <w:r w:rsidR="002E3ED5" w:rsidRPr="00D61BFF">
        <w:rPr>
          <w:rFonts w:asciiTheme="majorHAnsi" w:hAnsiTheme="majorHAnsi"/>
        </w:rPr>
        <w:t>The primary policy that defines content of the RHP Plan and how funds are allocated, milestones approved, and payments made</w:t>
      </w:r>
      <w:r w:rsidR="00D61BFF">
        <w:rPr>
          <w:rFonts w:asciiTheme="majorHAnsi" w:hAnsiTheme="majorHAnsi"/>
        </w:rPr>
        <w:t>.</w:t>
      </w:r>
      <w:proofErr w:type="gramEnd"/>
    </w:p>
    <w:p w:rsidR="00D61BFF" w:rsidRDefault="00926C6B" w:rsidP="00FC5E39">
      <w:pPr>
        <w:pStyle w:val="NoSpacing"/>
        <w:numPr>
          <w:ilvl w:val="0"/>
          <w:numId w:val="12"/>
        </w:numPr>
        <w:ind w:left="360"/>
        <w:rPr>
          <w:rFonts w:asciiTheme="majorHAnsi" w:hAnsiTheme="majorHAnsi"/>
        </w:rPr>
      </w:pPr>
      <w:r w:rsidRPr="00926C6B">
        <w:rPr>
          <w:rFonts w:asciiTheme="majorHAnsi" w:hAnsiTheme="majorHAnsi"/>
          <w:b/>
        </w:rPr>
        <w:t>Protected Health Information  (</w:t>
      </w:r>
      <w:r w:rsidR="00034CB7" w:rsidRPr="00926C6B">
        <w:rPr>
          <w:rFonts w:asciiTheme="majorHAnsi" w:hAnsiTheme="majorHAnsi"/>
          <w:b/>
        </w:rPr>
        <w:t>P</w:t>
      </w:r>
      <w:r w:rsidR="00034CB7" w:rsidRPr="00D61BFF">
        <w:rPr>
          <w:rFonts w:asciiTheme="majorHAnsi" w:hAnsiTheme="majorHAnsi"/>
          <w:b/>
        </w:rPr>
        <w:t>HI</w:t>
      </w:r>
      <w:r>
        <w:rPr>
          <w:rFonts w:asciiTheme="majorHAnsi" w:hAnsiTheme="majorHAnsi"/>
          <w:b/>
        </w:rPr>
        <w:t>)</w:t>
      </w:r>
    </w:p>
    <w:p w:rsidR="00D61BFF" w:rsidRPr="00D61BFF" w:rsidRDefault="002E3ED5" w:rsidP="00FC5E39">
      <w:pPr>
        <w:pStyle w:val="NoSpacing"/>
        <w:ind w:left="360"/>
        <w:rPr>
          <w:rFonts w:asciiTheme="majorHAnsi" w:hAnsiTheme="majorHAnsi"/>
        </w:rPr>
      </w:pPr>
      <w:proofErr w:type="gramStart"/>
      <w:r w:rsidRPr="00D61BFF">
        <w:rPr>
          <w:rFonts w:asciiTheme="majorHAnsi" w:hAnsiTheme="majorHAnsi"/>
        </w:rPr>
        <w:t>Patient-level data that is to be safeguarded.</w:t>
      </w:r>
      <w:proofErr w:type="gramEnd"/>
    </w:p>
    <w:p w:rsidR="00D61BFF" w:rsidRPr="00926C6B" w:rsidRDefault="00926C6B" w:rsidP="00FC5E39">
      <w:pPr>
        <w:pStyle w:val="NoSpacing"/>
        <w:numPr>
          <w:ilvl w:val="0"/>
          <w:numId w:val="12"/>
        </w:numPr>
        <w:ind w:left="360"/>
        <w:rPr>
          <w:rFonts w:asciiTheme="majorHAnsi" w:hAnsiTheme="majorHAnsi"/>
          <w:b/>
        </w:rPr>
      </w:pPr>
      <w:r w:rsidRPr="00926C6B">
        <w:rPr>
          <w:rFonts w:asciiTheme="majorHAnsi" w:hAnsiTheme="majorHAnsi"/>
          <w:b/>
        </w:rPr>
        <w:t>Quantifiable Patient Impact  (</w:t>
      </w:r>
      <w:r w:rsidR="00034CB7" w:rsidRPr="00926C6B">
        <w:rPr>
          <w:rFonts w:asciiTheme="majorHAnsi" w:hAnsiTheme="majorHAnsi"/>
          <w:b/>
        </w:rPr>
        <w:t>QPI</w:t>
      </w:r>
      <w:r w:rsidRPr="00926C6B">
        <w:rPr>
          <w:rFonts w:asciiTheme="majorHAnsi" w:hAnsiTheme="majorHAnsi"/>
          <w:b/>
        </w:rPr>
        <w:t>)</w:t>
      </w:r>
    </w:p>
    <w:p w:rsidR="00A34B1E" w:rsidRPr="00D61BFF" w:rsidRDefault="002E3ED5" w:rsidP="00FC5E39">
      <w:pPr>
        <w:pStyle w:val="NoSpacing"/>
        <w:ind w:left="360"/>
        <w:rPr>
          <w:rFonts w:asciiTheme="majorHAnsi" w:hAnsiTheme="majorHAnsi"/>
        </w:rPr>
      </w:pPr>
      <w:proofErr w:type="gramStart"/>
      <w:r w:rsidRPr="00D61BFF">
        <w:rPr>
          <w:rFonts w:asciiTheme="majorHAnsi" w:hAnsiTheme="majorHAnsi"/>
        </w:rPr>
        <w:t>A special designation for one milestone within each project that describes its scope, such as number of unique patients or visits.</w:t>
      </w:r>
      <w:proofErr w:type="gramEnd"/>
      <w:r w:rsidRPr="00D61BFF">
        <w:rPr>
          <w:rFonts w:asciiTheme="majorHAnsi" w:hAnsiTheme="majorHAnsi"/>
        </w:rPr>
        <w:t xml:space="preserve"> This milestone is used by CMS to assess the project’s total value.</w:t>
      </w:r>
    </w:p>
    <w:p w:rsidR="00D61BFF" w:rsidRDefault="00926C6B" w:rsidP="00FC5E39">
      <w:pPr>
        <w:pStyle w:val="NoSpacing"/>
        <w:numPr>
          <w:ilvl w:val="0"/>
          <w:numId w:val="12"/>
        </w:numPr>
        <w:ind w:left="360"/>
        <w:rPr>
          <w:rFonts w:asciiTheme="majorHAnsi" w:hAnsiTheme="majorHAnsi"/>
        </w:rPr>
      </w:pPr>
      <w:r w:rsidRPr="00926C6B">
        <w:rPr>
          <w:rFonts w:asciiTheme="majorHAnsi" w:hAnsiTheme="majorHAnsi"/>
          <w:b/>
        </w:rPr>
        <w:t>Regional Healthcare Partners</w:t>
      </w:r>
      <w:bookmarkStart w:id="0" w:name="_GoBack"/>
      <w:bookmarkEnd w:id="0"/>
      <w:r w:rsidRPr="00926C6B">
        <w:rPr>
          <w:rFonts w:asciiTheme="majorHAnsi" w:hAnsiTheme="majorHAnsi"/>
          <w:b/>
        </w:rPr>
        <w:t xml:space="preserve">hip </w:t>
      </w:r>
      <w:r>
        <w:rPr>
          <w:rFonts w:asciiTheme="majorHAnsi" w:hAnsiTheme="majorHAnsi"/>
          <w:b/>
        </w:rPr>
        <w:t>(</w:t>
      </w:r>
      <w:r w:rsidR="00034CB7" w:rsidRPr="00D61BFF">
        <w:rPr>
          <w:rFonts w:asciiTheme="majorHAnsi" w:hAnsiTheme="majorHAnsi"/>
          <w:b/>
        </w:rPr>
        <w:t>RHP</w:t>
      </w:r>
      <w:r>
        <w:rPr>
          <w:rFonts w:asciiTheme="majorHAnsi" w:hAnsiTheme="majorHAnsi"/>
          <w:b/>
        </w:rPr>
        <w:t>)</w:t>
      </w:r>
    </w:p>
    <w:p w:rsidR="002E3ED5" w:rsidRPr="00D61BFF" w:rsidRDefault="002E3ED5" w:rsidP="00FC5E39">
      <w:pPr>
        <w:pStyle w:val="NoSpacing"/>
        <w:ind w:left="360"/>
        <w:rPr>
          <w:rFonts w:asciiTheme="majorHAnsi" w:hAnsiTheme="majorHAnsi"/>
        </w:rPr>
      </w:pPr>
      <w:proofErr w:type="gramStart"/>
      <w:r w:rsidRPr="00D61BFF">
        <w:rPr>
          <w:rFonts w:asciiTheme="majorHAnsi" w:hAnsiTheme="majorHAnsi"/>
        </w:rPr>
        <w:t xml:space="preserve">A DSRIP feature unique to Texas which allows </w:t>
      </w:r>
      <w:r w:rsidR="00926C6B">
        <w:rPr>
          <w:rFonts w:asciiTheme="majorHAnsi" w:hAnsiTheme="majorHAnsi"/>
        </w:rPr>
        <w:t xml:space="preserve">interested participants </w:t>
      </w:r>
      <w:r w:rsidR="00551205" w:rsidRPr="00D61BFF">
        <w:rPr>
          <w:rFonts w:asciiTheme="majorHAnsi" w:hAnsiTheme="majorHAnsi"/>
        </w:rPr>
        <w:t>work</w:t>
      </w:r>
      <w:r w:rsidR="00206EFF" w:rsidRPr="00D61BFF">
        <w:rPr>
          <w:rFonts w:asciiTheme="majorHAnsi" w:hAnsiTheme="majorHAnsi"/>
        </w:rPr>
        <w:t>ing</w:t>
      </w:r>
      <w:r w:rsidR="00551205" w:rsidRPr="00D61BFF">
        <w:rPr>
          <w:rFonts w:asciiTheme="majorHAnsi" w:hAnsiTheme="majorHAnsi"/>
        </w:rPr>
        <w:t xml:space="preserve"> collectively to develop and implement a regional plan for health care delivery system reform.</w:t>
      </w:r>
      <w:proofErr w:type="gramEnd"/>
      <w:r w:rsidR="00926C6B">
        <w:rPr>
          <w:rFonts w:asciiTheme="majorHAnsi" w:hAnsiTheme="majorHAnsi"/>
        </w:rPr>
        <w:t xml:space="preserve"> </w:t>
      </w:r>
    </w:p>
    <w:p w:rsidR="00111AB2" w:rsidRDefault="00111AB2" w:rsidP="00111AB2">
      <w:pPr>
        <w:pStyle w:val="NoSpacing"/>
        <w:ind w:left="360"/>
        <w:rPr>
          <w:rFonts w:asciiTheme="majorHAnsi" w:hAnsiTheme="majorHAnsi"/>
          <w:b/>
        </w:rPr>
      </w:pPr>
    </w:p>
    <w:p w:rsidR="00111AB2" w:rsidRDefault="00111AB2" w:rsidP="00111AB2">
      <w:pPr>
        <w:pStyle w:val="NoSpacing"/>
        <w:ind w:left="360"/>
        <w:rPr>
          <w:rFonts w:asciiTheme="majorHAnsi" w:hAnsiTheme="majorHAnsi"/>
          <w:b/>
        </w:rPr>
      </w:pPr>
    </w:p>
    <w:p w:rsidR="000C7A49" w:rsidRPr="000C7A49" w:rsidRDefault="000C7A49" w:rsidP="00FC5E39">
      <w:pPr>
        <w:pStyle w:val="NoSpacing"/>
        <w:numPr>
          <w:ilvl w:val="0"/>
          <w:numId w:val="12"/>
        </w:numPr>
        <w:ind w:left="360"/>
        <w:rPr>
          <w:rFonts w:asciiTheme="majorHAnsi" w:hAnsiTheme="majorHAnsi"/>
          <w:b/>
        </w:rPr>
      </w:pPr>
      <w:r w:rsidRPr="000C7A49">
        <w:rPr>
          <w:rFonts w:asciiTheme="majorHAnsi" w:hAnsiTheme="majorHAnsi"/>
          <w:b/>
        </w:rPr>
        <w:lastRenderedPageBreak/>
        <w:t>RHP Participant</w:t>
      </w:r>
    </w:p>
    <w:p w:rsidR="00FC5E39" w:rsidRPr="00FC5E39" w:rsidRDefault="000C7A49" w:rsidP="00111AB2">
      <w:pPr>
        <w:pStyle w:val="NoSpacing"/>
        <w:ind w:left="360"/>
        <w:rPr>
          <w:rFonts w:asciiTheme="majorHAnsi" w:hAnsiTheme="majorHAnsi"/>
        </w:rPr>
      </w:pPr>
      <w:r w:rsidRPr="000C7A49">
        <w:rPr>
          <w:rFonts w:asciiTheme="majorHAnsi" w:hAnsiTheme="majorHAnsi"/>
        </w:rPr>
        <w:t>An entity participating in an RHP as outlined in an RHP plan. A participant may be an IGT entity, a performer, an anchor, or another stakeholder.</w:t>
      </w:r>
    </w:p>
    <w:p w:rsidR="000C7A49" w:rsidRPr="000C7A49" w:rsidRDefault="000C7A49" w:rsidP="00FC5E39">
      <w:pPr>
        <w:pStyle w:val="NoSpacing"/>
        <w:numPr>
          <w:ilvl w:val="0"/>
          <w:numId w:val="12"/>
        </w:numPr>
        <w:ind w:left="360"/>
        <w:rPr>
          <w:rFonts w:asciiTheme="majorHAnsi" w:hAnsiTheme="majorHAnsi"/>
        </w:rPr>
      </w:pPr>
      <w:r>
        <w:rPr>
          <w:rFonts w:asciiTheme="majorHAnsi" w:hAnsiTheme="majorHAnsi"/>
          <w:b/>
        </w:rPr>
        <w:t>RHP Plans</w:t>
      </w:r>
    </w:p>
    <w:p w:rsidR="000C7A49" w:rsidRDefault="000C7A49" w:rsidP="00FC5E39">
      <w:pPr>
        <w:pStyle w:val="NoSpacing"/>
        <w:ind w:left="360"/>
        <w:rPr>
          <w:rFonts w:asciiTheme="majorHAnsi" w:hAnsiTheme="majorHAnsi"/>
          <w:b/>
        </w:rPr>
      </w:pPr>
      <w:r w:rsidRPr="000C7A49">
        <w:rPr>
          <w:rFonts w:asciiTheme="majorHAnsi" w:hAnsiTheme="majorHAnsi"/>
        </w:rPr>
        <w:t>A plan to identify the community needs, the projects, and investments under the DSRIP to address those needs, community healthcare partners, the healthcare challenges, and quality objectives of an RHP.  These plans must be submitted to the State and CMS for approval and shall include estimated funding available by year to support UC and DSRIP payments. RHP anchoring entities shall provide opportunities for public input to the development of RHP plans, and shall provide opportunities for discussion and review of proposed RHP plans prior to plan submission to the State.</w:t>
      </w:r>
      <w:r w:rsidRPr="000C7A49">
        <w:rPr>
          <w:rFonts w:asciiTheme="majorHAnsi" w:hAnsiTheme="majorHAnsi"/>
          <w:b/>
        </w:rPr>
        <w:t xml:space="preserve">    </w:t>
      </w:r>
    </w:p>
    <w:p w:rsidR="007D60C5" w:rsidRPr="000C7A49" w:rsidRDefault="007D60C5" w:rsidP="007D60C5">
      <w:pPr>
        <w:pStyle w:val="NoSpacing"/>
        <w:numPr>
          <w:ilvl w:val="0"/>
          <w:numId w:val="12"/>
        </w:numPr>
        <w:ind w:left="360"/>
        <w:rPr>
          <w:rFonts w:asciiTheme="majorHAnsi" w:hAnsiTheme="majorHAnsi"/>
        </w:rPr>
      </w:pPr>
      <w:r w:rsidRPr="000C7A49">
        <w:rPr>
          <w:rFonts w:asciiTheme="majorHAnsi" w:eastAsia="Times New Roman" w:hAnsiTheme="majorHAnsi" w:cs="Times New Roman"/>
          <w:b/>
        </w:rPr>
        <w:t xml:space="preserve">Texas Healthcare Transformation and Quality Improvement Program 1115 Waiver </w:t>
      </w:r>
      <w:r>
        <w:rPr>
          <w:rFonts w:asciiTheme="majorHAnsi" w:eastAsia="Times New Roman" w:hAnsiTheme="majorHAnsi" w:cs="Times New Roman"/>
          <w:b/>
        </w:rPr>
        <w:t xml:space="preserve"> (Waiver)</w:t>
      </w:r>
    </w:p>
    <w:p w:rsidR="007D60C5" w:rsidRPr="000C7A49" w:rsidRDefault="007D60C5" w:rsidP="007D60C5">
      <w:pPr>
        <w:pStyle w:val="NoSpacing"/>
        <w:ind w:left="360"/>
        <w:rPr>
          <w:rFonts w:asciiTheme="majorHAnsi" w:hAnsiTheme="majorHAnsi"/>
        </w:rPr>
      </w:pPr>
      <w:proofErr w:type="gramStart"/>
      <w:r>
        <w:rPr>
          <w:rFonts w:asciiTheme="majorHAnsi" w:eastAsia="Times New Roman" w:hAnsiTheme="majorHAnsi" w:cs="Times New Roman"/>
        </w:rPr>
        <w:t>A Waiver under section 1115 of Social Security Act that allows CMS and states more flexibility in designing programs to ensure delivery of Medicaid services.</w:t>
      </w:r>
      <w:proofErr w:type="gramEnd"/>
      <w:r>
        <w:rPr>
          <w:rFonts w:asciiTheme="majorHAnsi" w:eastAsia="Times New Roman" w:hAnsiTheme="majorHAnsi" w:cs="Times New Roman"/>
        </w:rPr>
        <w:t xml:space="preserve"> </w:t>
      </w:r>
      <w:r w:rsidRPr="000C7A49">
        <w:rPr>
          <w:rFonts w:asciiTheme="majorHAnsi" w:eastAsia="Times New Roman" w:hAnsiTheme="majorHAnsi" w:cs="Times New Roman"/>
        </w:rPr>
        <w:t xml:space="preserve">The vehicle approved by HHSC and CMS for expansion of managed care within the State Medicaid program while preserving federal supplemental hospital funding historically provided under the </w:t>
      </w:r>
      <w:r>
        <w:rPr>
          <w:rFonts w:asciiTheme="majorHAnsi" w:eastAsia="Times New Roman" w:hAnsiTheme="majorHAnsi" w:cs="Times New Roman"/>
        </w:rPr>
        <w:t>upper payment limit (</w:t>
      </w:r>
      <w:r w:rsidRPr="000C7A49">
        <w:rPr>
          <w:rFonts w:asciiTheme="majorHAnsi" w:eastAsia="Times New Roman" w:hAnsiTheme="majorHAnsi" w:cs="Times New Roman"/>
        </w:rPr>
        <w:t>UPL</w:t>
      </w:r>
      <w:r>
        <w:rPr>
          <w:rFonts w:asciiTheme="majorHAnsi" w:eastAsia="Times New Roman" w:hAnsiTheme="majorHAnsi" w:cs="Times New Roman"/>
        </w:rPr>
        <w:t>)</w:t>
      </w:r>
      <w:r w:rsidRPr="000C7A49">
        <w:rPr>
          <w:rFonts w:asciiTheme="majorHAnsi" w:eastAsia="Times New Roman" w:hAnsiTheme="majorHAnsi" w:cs="Times New Roman"/>
        </w:rPr>
        <w:t xml:space="preserve"> program</w:t>
      </w:r>
      <w:r>
        <w:rPr>
          <w:rFonts w:asciiTheme="majorHAnsi" w:eastAsia="Times New Roman" w:hAnsiTheme="majorHAnsi" w:cs="Times New Roman"/>
        </w:rPr>
        <w:t>.</w:t>
      </w:r>
    </w:p>
    <w:p w:rsidR="00D61BFF" w:rsidRDefault="00926C6B" w:rsidP="00FC5E39">
      <w:pPr>
        <w:pStyle w:val="NoSpacing"/>
        <w:numPr>
          <w:ilvl w:val="0"/>
          <w:numId w:val="12"/>
        </w:numPr>
        <w:ind w:left="360"/>
        <w:rPr>
          <w:rFonts w:asciiTheme="majorHAnsi" w:hAnsiTheme="majorHAnsi"/>
        </w:rPr>
      </w:pPr>
      <w:r w:rsidRPr="00926C6B">
        <w:rPr>
          <w:rFonts w:asciiTheme="majorHAnsi" w:hAnsiTheme="majorHAnsi"/>
          <w:b/>
        </w:rPr>
        <w:t>Texas Provider ID (</w:t>
      </w:r>
      <w:r w:rsidR="00034CB7" w:rsidRPr="00926C6B">
        <w:rPr>
          <w:rFonts w:asciiTheme="majorHAnsi" w:hAnsiTheme="majorHAnsi"/>
          <w:b/>
        </w:rPr>
        <w:t>TPI</w:t>
      </w:r>
      <w:r>
        <w:rPr>
          <w:rFonts w:asciiTheme="majorHAnsi" w:hAnsiTheme="majorHAnsi"/>
          <w:b/>
        </w:rPr>
        <w:t>)</w:t>
      </w:r>
    </w:p>
    <w:p w:rsidR="00551205" w:rsidRPr="00D61BFF" w:rsidRDefault="002E3ED5" w:rsidP="00FC5E39">
      <w:pPr>
        <w:pStyle w:val="NoSpacing"/>
        <w:ind w:left="360"/>
        <w:rPr>
          <w:rFonts w:asciiTheme="majorHAnsi" w:hAnsiTheme="majorHAnsi"/>
        </w:rPr>
      </w:pPr>
      <w:r w:rsidRPr="00D61BFF">
        <w:rPr>
          <w:rFonts w:asciiTheme="majorHAnsi" w:hAnsiTheme="majorHAnsi"/>
        </w:rPr>
        <w:t>Providers must</w:t>
      </w:r>
      <w:r w:rsidR="00551205" w:rsidRPr="00D61BFF">
        <w:rPr>
          <w:rFonts w:asciiTheme="majorHAnsi" w:hAnsiTheme="majorHAnsi"/>
        </w:rPr>
        <w:t xml:space="preserve"> have a Medicaid TPI. The provider’s TPI is part of each project ID.</w:t>
      </w:r>
    </w:p>
    <w:p w:rsidR="007D60C5" w:rsidRPr="00D61BFF" w:rsidRDefault="007D60C5" w:rsidP="007D60C5">
      <w:pPr>
        <w:pStyle w:val="NoSpacing"/>
        <w:numPr>
          <w:ilvl w:val="0"/>
          <w:numId w:val="12"/>
        </w:numPr>
        <w:ind w:left="360"/>
        <w:rPr>
          <w:rFonts w:asciiTheme="majorHAnsi" w:eastAsia="Times New Roman" w:hAnsiTheme="majorHAnsi" w:cs="Times New Roman"/>
        </w:rPr>
      </w:pPr>
      <w:r w:rsidRPr="00D61BFF">
        <w:rPr>
          <w:rFonts w:asciiTheme="majorHAnsi" w:hAnsiTheme="majorHAnsi"/>
          <w:b/>
        </w:rPr>
        <w:t>Triple Aim</w:t>
      </w:r>
    </w:p>
    <w:p w:rsidR="007D60C5" w:rsidRPr="00D61BFF" w:rsidRDefault="007D60C5" w:rsidP="007D60C5">
      <w:pPr>
        <w:pStyle w:val="NoSpacing"/>
        <w:ind w:left="360"/>
        <w:rPr>
          <w:rFonts w:asciiTheme="majorHAnsi" w:eastAsia="Times New Roman" w:hAnsiTheme="majorHAnsi" w:cs="Times New Roman"/>
        </w:rPr>
      </w:pPr>
      <w:r w:rsidRPr="00D61BFF">
        <w:rPr>
          <w:rFonts w:asciiTheme="majorHAnsi" w:hAnsiTheme="majorHAnsi"/>
        </w:rPr>
        <w:t xml:space="preserve">Originally developed by the </w:t>
      </w:r>
      <w:hyperlink r:id="rId12" w:tgtFrame="_blank" w:history="1">
        <w:r w:rsidRPr="00D61BFF">
          <w:rPr>
            <w:rFonts w:asciiTheme="majorHAnsi" w:hAnsiTheme="majorHAnsi"/>
          </w:rPr>
          <w:t>Institute for Healthcare Improvement</w:t>
        </w:r>
      </w:hyperlink>
      <w:r w:rsidRPr="00D61BFF">
        <w:rPr>
          <w:rFonts w:asciiTheme="majorHAnsi" w:hAnsiTheme="majorHAnsi"/>
        </w:rPr>
        <w:t xml:space="preserve"> (IHI), the Triple Aim is a framework that describes an approach to optimizing health system performance. Adopted by CMS, the goals of the Triple Aim are defined as:</w:t>
      </w:r>
    </w:p>
    <w:p w:rsidR="007D60C5" w:rsidRPr="00D61BFF" w:rsidRDefault="007D60C5" w:rsidP="007D60C5">
      <w:pPr>
        <w:pStyle w:val="NoSpacing"/>
        <w:numPr>
          <w:ilvl w:val="0"/>
          <w:numId w:val="13"/>
        </w:numPr>
        <w:ind w:left="1080"/>
        <w:rPr>
          <w:rFonts w:asciiTheme="majorHAnsi" w:eastAsia="Times New Roman" w:hAnsiTheme="majorHAnsi" w:cs="Times New Roman"/>
        </w:rPr>
      </w:pPr>
      <w:r w:rsidRPr="00D61BFF">
        <w:rPr>
          <w:rFonts w:asciiTheme="majorHAnsi" w:eastAsia="Times New Roman" w:hAnsiTheme="majorHAnsi" w:cs="Times New Roman"/>
        </w:rPr>
        <w:t>Improving the patient experience of care (including quality and satisfaction)</w:t>
      </w:r>
      <w:r>
        <w:rPr>
          <w:rFonts w:asciiTheme="majorHAnsi" w:eastAsia="Times New Roman" w:hAnsiTheme="majorHAnsi" w:cs="Times New Roman"/>
        </w:rPr>
        <w:t>,</w:t>
      </w:r>
    </w:p>
    <w:p w:rsidR="007D60C5" w:rsidRPr="00D61BFF" w:rsidRDefault="007D60C5" w:rsidP="007D60C5">
      <w:pPr>
        <w:pStyle w:val="NoSpacing"/>
        <w:numPr>
          <w:ilvl w:val="0"/>
          <w:numId w:val="13"/>
        </w:numPr>
        <w:ind w:left="1080"/>
        <w:rPr>
          <w:rFonts w:asciiTheme="majorHAnsi" w:eastAsia="Times New Roman" w:hAnsiTheme="majorHAnsi" w:cs="Times New Roman"/>
        </w:rPr>
      </w:pPr>
      <w:r w:rsidRPr="00D61BFF">
        <w:rPr>
          <w:rFonts w:asciiTheme="majorHAnsi" w:eastAsia="Times New Roman" w:hAnsiTheme="majorHAnsi" w:cs="Times New Roman"/>
        </w:rPr>
        <w:t>Improving the health of populations</w:t>
      </w:r>
      <w:r>
        <w:rPr>
          <w:rFonts w:asciiTheme="majorHAnsi" w:eastAsia="Times New Roman" w:hAnsiTheme="majorHAnsi" w:cs="Times New Roman"/>
        </w:rPr>
        <w:t>, and</w:t>
      </w:r>
    </w:p>
    <w:p w:rsidR="007D60C5" w:rsidRDefault="007D60C5" w:rsidP="007D60C5">
      <w:pPr>
        <w:pStyle w:val="NoSpacing"/>
        <w:numPr>
          <w:ilvl w:val="0"/>
          <w:numId w:val="13"/>
        </w:numPr>
        <w:ind w:left="1080"/>
        <w:rPr>
          <w:rFonts w:asciiTheme="majorHAnsi" w:eastAsia="Times New Roman" w:hAnsiTheme="majorHAnsi" w:cs="Times New Roman"/>
        </w:rPr>
      </w:pPr>
      <w:r w:rsidRPr="00D61BFF">
        <w:rPr>
          <w:rFonts w:asciiTheme="majorHAnsi" w:eastAsia="Times New Roman" w:hAnsiTheme="majorHAnsi" w:cs="Times New Roman"/>
        </w:rPr>
        <w:t>Reducing the per capita cost of healthcare</w:t>
      </w:r>
      <w:r>
        <w:rPr>
          <w:rFonts w:asciiTheme="majorHAnsi" w:eastAsia="Times New Roman" w:hAnsiTheme="majorHAnsi" w:cs="Times New Roman"/>
        </w:rPr>
        <w:t>.</w:t>
      </w:r>
    </w:p>
    <w:p w:rsidR="00D61BFF" w:rsidRPr="00926C6B" w:rsidRDefault="00926C6B" w:rsidP="00FC5E39">
      <w:pPr>
        <w:pStyle w:val="NoSpacing"/>
        <w:numPr>
          <w:ilvl w:val="0"/>
          <w:numId w:val="12"/>
        </w:numPr>
        <w:ind w:left="360"/>
        <w:rPr>
          <w:rFonts w:asciiTheme="majorHAnsi" w:hAnsiTheme="majorHAnsi"/>
          <w:b/>
        </w:rPr>
      </w:pPr>
      <w:r w:rsidRPr="00926C6B">
        <w:rPr>
          <w:rFonts w:asciiTheme="majorHAnsi" w:hAnsiTheme="majorHAnsi"/>
          <w:b/>
        </w:rPr>
        <w:t>Uncompensated Care (</w:t>
      </w:r>
      <w:r w:rsidR="00034CB7" w:rsidRPr="00926C6B">
        <w:rPr>
          <w:rFonts w:asciiTheme="majorHAnsi" w:hAnsiTheme="majorHAnsi"/>
          <w:b/>
        </w:rPr>
        <w:t>UC</w:t>
      </w:r>
      <w:r w:rsidRPr="00926C6B">
        <w:rPr>
          <w:rFonts w:asciiTheme="majorHAnsi" w:hAnsiTheme="majorHAnsi"/>
          <w:b/>
        </w:rPr>
        <w:t>)</w:t>
      </w:r>
    </w:p>
    <w:p w:rsidR="000C7A49" w:rsidRDefault="00551205" w:rsidP="00FC5E39">
      <w:pPr>
        <w:pStyle w:val="NoSpacing"/>
        <w:ind w:left="360"/>
        <w:rPr>
          <w:rFonts w:asciiTheme="majorHAnsi" w:hAnsiTheme="majorHAnsi"/>
        </w:rPr>
      </w:pPr>
      <w:r w:rsidRPr="00D61BFF">
        <w:rPr>
          <w:rFonts w:asciiTheme="majorHAnsi" w:hAnsiTheme="majorHAnsi"/>
        </w:rPr>
        <w:t>The funding pool available</w:t>
      </w:r>
      <w:r w:rsidR="000C7A49">
        <w:rPr>
          <w:rFonts w:asciiTheme="majorHAnsi" w:hAnsiTheme="majorHAnsi"/>
        </w:rPr>
        <w:t xml:space="preserve"> to RHP participants under the W</w:t>
      </w:r>
      <w:r w:rsidRPr="00D61BFF">
        <w:rPr>
          <w:rFonts w:asciiTheme="majorHAnsi" w:hAnsiTheme="majorHAnsi"/>
        </w:rPr>
        <w:t>aiver to defray uncompensated care costs</w:t>
      </w:r>
      <w:r w:rsidR="000C7A49">
        <w:rPr>
          <w:rFonts w:asciiTheme="majorHAnsi" w:hAnsiTheme="majorHAnsi"/>
        </w:rPr>
        <w:t xml:space="preserve"> (</w:t>
      </w:r>
      <w:r w:rsidR="000C7A49" w:rsidRPr="000C7A49">
        <w:rPr>
          <w:rFonts w:asciiTheme="majorHAnsi" w:hAnsiTheme="majorHAnsi"/>
        </w:rPr>
        <w:t>no funds or third party coverage for services provided by the hospital or other providers</w:t>
      </w:r>
      <w:r w:rsidR="000C7A49">
        <w:rPr>
          <w:rFonts w:asciiTheme="majorHAnsi" w:hAnsiTheme="majorHAnsi"/>
        </w:rPr>
        <w:t>)</w:t>
      </w:r>
      <w:r w:rsidR="000C7A49" w:rsidRPr="000C7A49">
        <w:rPr>
          <w:rFonts w:asciiTheme="majorHAnsi" w:hAnsiTheme="majorHAnsi"/>
        </w:rPr>
        <w:t>.</w:t>
      </w:r>
    </w:p>
    <w:p w:rsidR="000C7A49" w:rsidRPr="000C7A49" w:rsidRDefault="000C7A49" w:rsidP="00FC5E39">
      <w:pPr>
        <w:pStyle w:val="NoSpacing"/>
        <w:numPr>
          <w:ilvl w:val="0"/>
          <w:numId w:val="12"/>
        </w:numPr>
        <w:ind w:left="360"/>
        <w:rPr>
          <w:rFonts w:asciiTheme="majorHAnsi" w:hAnsiTheme="majorHAnsi"/>
          <w:b/>
        </w:rPr>
      </w:pPr>
      <w:r w:rsidRPr="000C7A49">
        <w:rPr>
          <w:rFonts w:asciiTheme="majorHAnsi" w:hAnsiTheme="majorHAnsi"/>
          <w:b/>
        </w:rPr>
        <w:t>Uncompensated Care Application (UC Protocol)</w:t>
      </w:r>
    </w:p>
    <w:p w:rsidR="00875D95" w:rsidRDefault="000C7A49" w:rsidP="007D60C5">
      <w:pPr>
        <w:pStyle w:val="NoSpacing"/>
        <w:ind w:left="360"/>
        <w:rPr>
          <w:rFonts w:asciiTheme="majorHAnsi" w:hAnsiTheme="majorHAnsi"/>
        </w:rPr>
      </w:pPr>
      <w:r w:rsidRPr="000C7A49">
        <w:rPr>
          <w:rFonts w:asciiTheme="majorHAnsi" w:hAnsiTheme="majorHAnsi"/>
        </w:rPr>
        <w:t>The documentation needed for hospitals and other providers to report their uncompensated costs to receive reimbursement u</w:t>
      </w:r>
      <w:r>
        <w:rPr>
          <w:rFonts w:asciiTheme="majorHAnsi" w:hAnsiTheme="majorHAnsi"/>
        </w:rPr>
        <w:t>nder the Transformation waiver.</w:t>
      </w:r>
    </w:p>
    <w:p w:rsidR="00A30F91" w:rsidRDefault="00A30F91" w:rsidP="00A30F91">
      <w:pPr>
        <w:pStyle w:val="NoSpacing"/>
        <w:numPr>
          <w:ilvl w:val="0"/>
          <w:numId w:val="12"/>
        </w:numPr>
        <w:ind w:left="360"/>
        <w:rPr>
          <w:rFonts w:asciiTheme="majorHAnsi" w:hAnsiTheme="majorHAnsi"/>
        </w:rPr>
      </w:pPr>
      <w:r w:rsidRPr="00926C6B">
        <w:rPr>
          <w:rFonts w:asciiTheme="majorHAnsi" w:hAnsiTheme="majorHAnsi"/>
          <w:b/>
        </w:rPr>
        <w:t>Upper Payment Limit  (U</w:t>
      </w:r>
      <w:r w:rsidRPr="00D61BFF">
        <w:rPr>
          <w:rFonts w:asciiTheme="majorHAnsi" w:hAnsiTheme="majorHAnsi"/>
          <w:b/>
        </w:rPr>
        <w:t>PL</w:t>
      </w:r>
      <w:r>
        <w:rPr>
          <w:rFonts w:asciiTheme="majorHAnsi" w:hAnsiTheme="majorHAnsi"/>
          <w:b/>
        </w:rPr>
        <w:t>)</w:t>
      </w:r>
    </w:p>
    <w:p w:rsidR="000C7A49" w:rsidRDefault="00A30F91" w:rsidP="00BA35D0">
      <w:pPr>
        <w:pStyle w:val="NoSpacing"/>
        <w:ind w:left="360"/>
        <w:rPr>
          <w:rFonts w:asciiTheme="majorHAnsi" w:hAnsiTheme="majorHAnsi"/>
        </w:rPr>
      </w:pPr>
      <w:r w:rsidRPr="00D61BFF">
        <w:rPr>
          <w:rFonts w:asciiTheme="majorHAnsi" w:hAnsiTheme="majorHAnsi"/>
        </w:rPr>
        <w:t>Historic supplemental payments made to certain hospitals and providers to make up the difference between what Medicaid actually paid for Medicaid clients and what Medicare would have paid for the same services.</w:t>
      </w:r>
      <w:r>
        <w:rPr>
          <w:rFonts w:asciiTheme="majorHAnsi" w:hAnsiTheme="majorHAnsi"/>
        </w:rPr>
        <w:t xml:space="preserve"> </w:t>
      </w:r>
      <w:r w:rsidRPr="000C7A49">
        <w:rPr>
          <w:rFonts w:asciiTheme="majorHAnsi" w:hAnsiTheme="majorHAnsi"/>
        </w:rPr>
        <w:t>UC and DSRIP funds available under the 1115 Transformation waiver replaced funding available under the former UPL program.</w:t>
      </w:r>
    </w:p>
    <w:p w:rsidR="003C1C5E" w:rsidRDefault="003C1C5E" w:rsidP="00BA35D0">
      <w:pPr>
        <w:pStyle w:val="NoSpacing"/>
        <w:ind w:left="360"/>
        <w:rPr>
          <w:rFonts w:asciiTheme="majorHAnsi" w:hAnsiTheme="majorHAnsi"/>
        </w:rPr>
      </w:pPr>
    </w:p>
    <w:p w:rsidR="003C1C5E" w:rsidRPr="00D61BFF" w:rsidRDefault="003C1C5E" w:rsidP="003C1C5E">
      <w:pPr>
        <w:pStyle w:val="NoSpacing"/>
        <w:rPr>
          <w:rFonts w:asciiTheme="majorHAnsi" w:hAnsiTheme="majorHAnsi"/>
          <w:b/>
          <w:sz w:val="24"/>
          <w:u w:val="single"/>
        </w:rPr>
      </w:pPr>
      <w:r>
        <w:rPr>
          <w:rFonts w:asciiTheme="majorHAnsi" w:hAnsiTheme="majorHAnsi"/>
          <w:b/>
          <w:sz w:val="24"/>
          <w:u w:val="single"/>
        </w:rPr>
        <w:t xml:space="preserve">Who </w:t>
      </w:r>
      <w:r w:rsidR="004C444D">
        <w:rPr>
          <w:rFonts w:asciiTheme="majorHAnsi" w:hAnsiTheme="majorHAnsi"/>
          <w:b/>
          <w:sz w:val="24"/>
          <w:u w:val="single"/>
        </w:rPr>
        <w:t>Should</w:t>
      </w:r>
      <w:r>
        <w:rPr>
          <w:rFonts w:asciiTheme="majorHAnsi" w:hAnsiTheme="majorHAnsi"/>
          <w:b/>
          <w:sz w:val="24"/>
          <w:u w:val="single"/>
        </w:rPr>
        <w:t xml:space="preserve"> I Contact for </w:t>
      </w:r>
      <w:r w:rsidR="004C444D">
        <w:rPr>
          <w:rFonts w:asciiTheme="majorHAnsi" w:hAnsiTheme="majorHAnsi"/>
          <w:b/>
          <w:sz w:val="24"/>
          <w:u w:val="single"/>
        </w:rPr>
        <w:t>Additional</w:t>
      </w:r>
      <w:r>
        <w:rPr>
          <w:rFonts w:asciiTheme="majorHAnsi" w:hAnsiTheme="majorHAnsi"/>
          <w:b/>
          <w:sz w:val="24"/>
          <w:u w:val="single"/>
        </w:rPr>
        <w:t xml:space="preserve"> Information?</w:t>
      </w: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Angie Alaniz</w:t>
      </w: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Director, 1115 Waiver Teams (RHP 8 &amp; RHP 17)</w:t>
      </w: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979-458-1594</w:t>
      </w:r>
    </w:p>
    <w:p w:rsidR="003C1C5E" w:rsidRPr="00D61BFF" w:rsidRDefault="004C444D" w:rsidP="003C1C5E">
      <w:pPr>
        <w:pStyle w:val="NoSpacing"/>
        <w:rPr>
          <w:rFonts w:asciiTheme="majorHAnsi" w:eastAsia="Times New Roman" w:hAnsiTheme="majorHAnsi" w:cs="Times New Roman"/>
        </w:rPr>
      </w:pPr>
      <w:hyperlink r:id="rId13" w:history="1">
        <w:r w:rsidR="003C1C5E" w:rsidRPr="00D61BFF">
          <w:rPr>
            <w:rStyle w:val="Hyperlink"/>
            <w:rFonts w:asciiTheme="majorHAnsi" w:eastAsia="Times New Roman" w:hAnsiTheme="majorHAnsi" w:cs="Times New Roman"/>
          </w:rPr>
          <w:t>alalaniz@sph.tamhsc.edu</w:t>
        </w:r>
      </w:hyperlink>
    </w:p>
    <w:p w:rsidR="003C1C5E" w:rsidRDefault="003C1C5E" w:rsidP="003C1C5E">
      <w:pPr>
        <w:pStyle w:val="NoSpacing"/>
        <w:rPr>
          <w:rFonts w:asciiTheme="majorHAnsi" w:eastAsia="Times New Roman" w:hAnsiTheme="majorHAnsi" w:cs="Times New Roman"/>
        </w:rPr>
      </w:pP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Jennifer LoGalbo</w:t>
      </w: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Program Director, Regional Healthcare Partnership 8</w:t>
      </w: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512-341-4962</w:t>
      </w:r>
    </w:p>
    <w:p w:rsidR="003C1C5E" w:rsidRPr="00D61BFF" w:rsidRDefault="004C444D" w:rsidP="003C1C5E">
      <w:pPr>
        <w:pStyle w:val="NoSpacing"/>
        <w:rPr>
          <w:rFonts w:asciiTheme="majorHAnsi" w:eastAsia="Times New Roman" w:hAnsiTheme="majorHAnsi" w:cs="Times New Roman"/>
        </w:rPr>
      </w:pPr>
      <w:hyperlink r:id="rId14" w:history="1">
        <w:r w:rsidR="003C1C5E" w:rsidRPr="00D61BFF">
          <w:rPr>
            <w:rStyle w:val="Hyperlink"/>
            <w:rFonts w:asciiTheme="majorHAnsi" w:eastAsia="Times New Roman" w:hAnsiTheme="majorHAnsi" w:cs="Times New Roman"/>
          </w:rPr>
          <w:t>logalbo@tamhsc.edu</w:t>
        </w:r>
      </w:hyperlink>
    </w:p>
    <w:p w:rsidR="003C1C5E" w:rsidRPr="00D61BFF" w:rsidRDefault="003C1C5E" w:rsidP="003C1C5E">
      <w:pPr>
        <w:pStyle w:val="NoSpacing"/>
        <w:rPr>
          <w:rFonts w:asciiTheme="majorHAnsi" w:eastAsia="Times New Roman" w:hAnsiTheme="majorHAnsi" w:cs="Times New Roman"/>
        </w:rPr>
      </w:pP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Gina Lawson</w:t>
      </w: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Program Assistant, Regional Healthcare Partnership 8</w:t>
      </w:r>
    </w:p>
    <w:p w:rsidR="003C1C5E" w:rsidRPr="00D61BFF" w:rsidRDefault="003C1C5E" w:rsidP="003C1C5E">
      <w:pPr>
        <w:pStyle w:val="NoSpacing"/>
        <w:rPr>
          <w:rFonts w:asciiTheme="majorHAnsi" w:eastAsia="Times New Roman" w:hAnsiTheme="majorHAnsi" w:cs="Times New Roman"/>
        </w:rPr>
      </w:pPr>
      <w:r w:rsidRPr="00D61BFF">
        <w:rPr>
          <w:rFonts w:asciiTheme="majorHAnsi" w:eastAsia="Times New Roman" w:hAnsiTheme="majorHAnsi" w:cs="Times New Roman"/>
        </w:rPr>
        <w:t>512-341-4975</w:t>
      </w:r>
    </w:p>
    <w:p w:rsidR="003C1C5E" w:rsidRPr="00D61BFF" w:rsidRDefault="004C444D" w:rsidP="003C1C5E">
      <w:pPr>
        <w:pStyle w:val="NoSpacing"/>
        <w:rPr>
          <w:rFonts w:asciiTheme="majorHAnsi" w:eastAsia="Times New Roman" w:hAnsiTheme="majorHAnsi" w:cs="Times New Roman"/>
        </w:rPr>
      </w:pPr>
      <w:hyperlink r:id="rId15" w:history="1">
        <w:r w:rsidR="003C1C5E" w:rsidRPr="00D61BFF">
          <w:rPr>
            <w:rStyle w:val="Hyperlink"/>
            <w:rFonts w:asciiTheme="majorHAnsi" w:eastAsia="Times New Roman" w:hAnsiTheme="majorHAnsi" w:cs="Times New Roman"/>
          </w:rPr>
          <w:t>glawson@tamhsc.edu</w:t>
        </w:r>
      </w:hyperlink>
    </w:p>
    <w:p w:rsidR="003C1C5E" w:rsidRPr="00BA35D0" w:rsidRDefault="003C1C5E" w:rsidP="00BA35D0">
      <w:pPr>
        <w:pStyle w:val="NoSpacing"/>
        <w:ind w:left="360"/>
        <w:rPr>
          <w:rFonts w:asciiTheme="majorHAnsi" w:hAnsiTheme="majorHAnsi"/>
        </w:rPr>
      </w:pPr>
    </w:p>
    <w:sectPr w:rsidR="003C1C5E" w:rsidRPr="00BA35D0" w:rsidSect="00111AB2">
      <w:headerReference w:type="even" r:id="rId16"/>
      <w:footerReference w:type="default" r:id="rId17"/>
      <w:footerReference w:type="first" r:id="rId18"/>
      <w:type w:val="continuous"/>
      <w:pgSz w:w="12240" w:h="15840"/>
      <w:pgMar w:top="720" w:right="720" w:bottom="720" w:left="720" w:header="50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CD" w:rsidRDefault="00EE05CD" w:rsidP="00892E58">
      <w:r>
        <w:separator/>
      </w:r>
    </w:p>
  </w:endnote>
  <w:endnote w:type="continuationSeparator" w:id="0">
    <w:p w:rsidR="00EE05CD" w:rsidRDefault="00EE05CD" w:rsidP="0089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70735"/>
      <w:docPartObj>
        <w:docPartGallery w:val="Page Numbers (Bottom of Page)"/>
        <w:docPartUnique/>
      </w:docPartObj>
    </w:sdtPr>
    <w:sdtEndPr>
      <w:rPr>
        <w:rFonts w:asciiTheme="majorHAnsi" w:hAnsiTheme="majorHAnsi"/>
        <w:noProof/>
        <w:sz w:val="18"/>
        <w:szCs w:val="18"/>
      </w:rPr>
    </w:sdtEndPr>
    <w:sdtContent>
      <w:p w:rsidR="00111AB2" w:rsidRPr="00111AB2" w:rsidRDefault="00111AB2" w:rsidP="00111AB2">
        <w:pPr>
          <w:pStyle w:val="Footer"/>
          <w:jc w:val="center"/>
          <w:rPr>
            <w:rFonts w:asciiTheme="majorHAnsi" w:hAnsiTheme="majorHAnsi"/>
            <w:sz w:val="18"/>
            <w:szCs w:val="18"/>
          </w:rPr>
        </w:pPr>
        <w:r>
          <w:t xml:space="preserve">                                            </w:t>
        </w:r>
        <w:r>
          <w:rPr>
            <w:noProof/>
          </w:rPr>
          <w:drawing>
            <wp:inline distT="0" distB="0" distL="0" distR="0" wp14:anchorId="5BD74142" wp14:editId="6BEF63BB">
              <wp:extent cx="3101498" cy="393192"/>
              <wp:effectExtent l="0" t="0" r="381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_horizontal_maroon (2).jpg"/>
                      <pic:cNvPicPr/>
                    </pic:nvPicPr>
                    <pic:blipFill>
                      <a:blip r:embed="rId1">
                        <a:extLst>
                          <a:ext uri="{28A0092B-C50C-407E-A947-70E740481C1C}">
                            <a14:useLocalDpi xmlns:a14="http://schemas.microsoft.com/office/drawing/2010/main" val="0"/>
                          </a:ext>
                        </a:extLst>
                      </a:blip>
                      <a:stretch>
                        <a:fillRect/>
                      </a:stretch>
                    </pic:blipFill>
                    <pic:spPr>
                      <a:xfrm>
                        <a:off x="0" y="0"/>
                        <a:ext cx="3101498" cy="393192"/>
                      </a:xfrm>
                      <a:prstGeom prst="rect">
                        <a:avLst/>
                      </a:prstGeom>
                    </pic:spPr>
                  </pic:pic>
                </a:graphicData>
              </a:graphic>
            </wp:inline>
          </w:drawing>
        </w:r>
        <w:r>
          <w:t xml:space="preserve">                                </w:t>
        </w:r>
        <w:r w:rsidRPr="00111AB2">
          <w:rPr>
            <w:rFonts w:asciiTheme="majorHAnsi" w:hAnsiTheme="majorHAnsi"/>
            <w:sz w:val="18"/>
            <w:szCs w:val="18"/>
          </w:rPr>
          <w:fldChar w:fldCharType="begin"/>
        </w:r>
        <w:r w:rsidRPr="00111AB2">
          <w:rPr>
            <w:rFonts w:asciiTheme="majorHAnsi" w:hAnsiTheme="majorHAnsi"/>
            <w:sz w:val="18"/>
            <w:szCs w:val="18"/>
          </w:rPr>
          <w:instrText xml:space="preserve"> PAGE   \* MERGEFORMAT </w:instrText>
        </w:r>
        <w:r w:rsidRPr="00111AB2">
          <w:rPr>
            <w:rFonts w:asciiTheme="majorHAnsi" w:hAnsiTheme="majorHAnsi"/>
            <w:sz w:val="18"/>
            <w:szCs w:val="18"/>
          </w:rPr>
          <w:fldChar w:fldCharType="separate"/>
        </w:r>
        <w:r w:rsidR="004C444D">
          <w:rPr>
            <w:rFonts w:asciiTheme="majorHAnsi" w:hAnsiTheme="majorHAnsi"/>
            <w:noProof/>
            <w:sz w:val="18"/>
            <w:szCs w:val="18"/>
          </w:rPr>
          <w:t>4</w:t>
        </w:r>
        <w:r w:rsidRPr="00111AB2">
          <w:rPr>
            <w:rFonts w:asciiTheme="majorHAnsi" w:hAnsiTheme="majorHAnsi"/>
            <w:noProof/>
            <w:sz w:val="18"/>
            <w:szCs w:val="18"/>
          </w:rPr>
          <w:fldChar w:fldCharType="end"/>
        </w:r>
      </w:p>
    </w:sdtContent>
  </w:sdt>
  <w:p w:rsidR="00155264" w:rsidRDefault="00155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FD" w:rsidRDefault="00111AB2" w:rsidP="00E750FD">
    <w:pPr>
      <w:pStyle w:val="Footer"/>
      <w:jc w:val="center"/>
    </w:pPr>
    <w:r>
      <w:rPr>
        <w:noProof/>
      </w:rPr>
      <w:drawing>
        <wp:inline distT="0" distB="0" distL="0" distR="0" wp14:anchorId="32BFA3CD" wp14:editId="7CFBB4DA">
          <wp:extent cx="3101498" cy="393192"/>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_horizontal_maroon (2).jpg"/>
                  <pic:cNvPicPr/>
                </pic:nvPicPr>
                <pic:blipFill>
                  <a:blip r:embed="rId1">
                    <a:extLst>
                      <a:ext uri="{28A0092B-C50C-407E-A947-70E740481C1C}">
                        <a14:useLocalDpi xmlns:a14="http://schemas.microsoft.com/office/drawing/2010/main" val="0"/>
                      </a:ext>
                    </a:extLst>
                  </a:blip>
                  <a:stretch>
                    <a:fillRect/>
                  </a:stretch>
                </pic:blipFill>
                <pic:spPr>
                  <a:xfrm>
                    <a:off x="0" y="0"/>
                    <a:ext cx="3101498" cy="393192"/>
                  </a:xfrm>
                  <a:prstGeom prst="rect">
                    <a:avLst/>
                  </a:prstGeom>
                </pic:spPr>
              </pic:pic>
            </a:graphicData>
          </a:graphic>
        </wp:inline>
      </w:drawing>
    </w:r>
  </w:p>
  <w:p w:rsidR="00111AB2" w:rsidRDefault="00111AB2" w:rsidP="00E750F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CD" w:rsidRDefault="00EE05CD" w:rsidP="00892E58">
      <w:r>
        <w:separator/>
      </w:r>
    </w:p>
  </w:footnote>
  <w:footnote w:type="continuationSeparator" w:id="0">
    <w:p w:rsidR="00EE05CD" w:rsidRDefault="00EE05CD" w:rsidP="00892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264" w:rsidRDefault="004C44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612pt;height:11in;z-index:-251658752;mso-wrap-edited:f;mso-position-horizontal:center;mso-position-horizontal-relative:margin;mso-position-vertical:center;mso-position-vertical-relative:margin" wrapcoords="-26 0 -26 21559 21600 21559 21600 0 -26 0">
          <v:imagedata r:id="rId1" o:title="UHS18628_RHP6Summit&amp;LC_Agenda_C"/>
          <w10:wrap anchorx="margin" anchory="margin"/>
        </v:shape>
      </w:pict>
    </w:r>
  </w:p>
  <w:p w:rsidR="00155264" w:rsidRDefault="00155264">
    <w:pPr>
      <w:pStyle w:val="Header"/>
    </w:pPr>
  </w:p>
  <w:p w:rsidR="00155264" w:rsidRDefault="00155264">
    <w:pPr>
      <w:pStyle w:val="Header"/>
    </w:pPr>
  </w:p>
  <w:p w:rsidR="00155264" w:rsidRDefault="00155264">
    <w:pPr>
      <w:pStyle w:val="Header"/>
    </w:pPr>
  </w:p>
  <w:p w:rsidR="00155264" w:rsidRDefault="00155264" w:rsidP="00DF63D7">
    <w:pPr>
      <w:pStyle w:val="Header"/>
      <w:tabs>
        <w:tab w:val="clear" w:pos="4320"/>
        <w:tab w:val="clear" w:pos="8640"/>
        <w:tab w:val="left" w:pos="1697"/>
      </w:tabs>
    </w:pPr>
  </w:p>
  <w:p w:rsidR="00155264" w:rsidRDefault="00155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EFA"/>
    <w:multiLevelType w:val="hybridMultilevel"/>
    <w:tmpl w:val="2B26B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75672E"/>
    <w:multiLevelType w:val="hybridMultilevel"/>
    <w:tmpl w:val="781E9ABC"/>
    <w:lvl w:ilvl="0" w:tplc="416ADC5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11098"/>
    <w:multiLevelType w:val="hybridMultilevel"/>
    <w:tmpl w:val="CE8ECEBC"/>
    <w:lvl w:ilvl="0" w:tplc="869A53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EF3584"/>
    <w:multiLevelType w:val="hybridMultilevel"/>
    <w:tmpl w:val="98E0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FB4E46"/>
    <w:multiLevelType w:val="hybridMultilevel"/>
    <w:tmpl w:val="468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621625"/>
    <w:multiLevelType w:val="hybridMultilevel"/>
    <w:tmpl w:val="9116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8F0BF5"/>
    <w:multiLevelType w:val="hybridMultilevel"/>
    <w:tmpl w:val="B1941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9D16B4"/>
    <w:multiLevelType w:val="hybridMultilevel"/>
    <w:tmpl w:val="8332A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644F2"/>
    <w:multiLevelType w:val="hybridMultilevel"/>
    <w:tmpl w:val="22602F56"/>
    <w:lvl w:ilvl="0" w:tplc="31E0E8C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40918"/>
    <w:multiLevelType w:val="hybridMultilevel"/>
    <w:tmpl w:val="FC1A319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ED67B2"/>
    <w:multiLevelType w:val="multilevel"/>
    <w:tmpl w:val="E5B6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BB21F1"/>
    <w:multiLevelType w:val="hybridMultilevel"/>
    <w:tmpl w:val="C182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48345D"/>
    <w:multiLevelType w:val="hybridMultilevel"/>
    <w:tmpl w:val="0448B02A"/>
    <w:lvl w:ilvl="0" w:tplc="E37C9A32">
      <w:start w:val="51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793B257A"/>
    <w:multiLevelType w:val="hybridMultilevel"/>
    <w:tmpl w:val="CFB87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DA32E0"/>
    <w:multiLevelType w:val="hybridMultilevel"/>
    <w:tmpl w:val="0BAAD2AE"/>
    <w:lvl w:ilvl="0" w:tplc="8C6EC4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1"/>
  </w:num>
  <w:num w:numId="5">
    <w:abstractNumId w:val="14"/>
  </w:num>
  <w:num w:numId="6">
    <w:abstractNumId w:val="1"/>
  </w:num>
  <w:num w:numId="7">
    <w:abstractNumId w:val="8"/>
  </w:num>
  <w:num w:numId="8">
    <w:abstractNumId w:val="10"/>
  </w:num>
  <w:num w:numId="9">
    <w:abstractNumId w:val="12"/>
  </w:num>
  <w:num w:numId="10">
    <w:abstractNumId w:val="4"/>
  </w:num>
  <w:num w:numId="11">
    <w:abstractNumId w:val="3"/>
  </w:num>
  <w:num w:numId="12">
    <w:abstractNumId w:val="7"/>
  </w:num>
  <w:num w:numId="13">
    <w:abstractNumId w:val="9"/>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58"/>
    <w:rsid w:val="000025AF"/>
    <w:rsid w:val="00020944"/>
    <w:rsid w:val="00025A54"/>
    <w:rsid w:val="00034CB7"/>
    <w:rsid w:val="00043801"/>
    <w:rsid w:val="00044F50"/>
    <w:rsid w:val="000971A8"/>
    <w:rsid w:val="000C0DD9"/>
    <w:rsid w:val="000C7A49"/>
    <w:rsid w:val="000D2CCB"/>
    <w:rsid w:val="000D7A76"/>
    <w:rsid w:val="000E790D"/>
    <w:rsid w:val="00111336"/>
    <w:rsid w:val="00111AB2"/>
    <w:rsid w:val="00131733"/>
    <w:rsid w:val="00155264"/>
    <w:rsid w:val="001610B2"/>
    <w:rsid w:val="00181426"/>
    <w:rsid w:val="00191AFF"/>
    <w:rsid w:val="0019590F"/>
    <w:rsid w:val="001F0FD7"/>
    <w:rsid w:val="00206EFF"/>
    <w:rsid w:val="002209F5"/>
    <w:rsid w:val="002721DE"/>
    <w:rsid w:val="00293472"/>
    <w:rsid w:val="002E3ED5"/>
    <w:rsid w:val="0031070F"/>
    <w:rsid w:val="00325743"/>
    <w:rsid w:val="003329A3"/>
    <w:rsid w:val="00345D04"/>
    <w:rsid w:val="003652D8"/>
    <w:rsid w:val="00380A9E"/>
    <w:rsid w:val="003C1C5E"/>
    <w:rsid w:val="003F2EFA"/>
    <w:rsid w:val="004204D5"/>
    <w:rsid w:val="00431663"/>
    <w:rsid w:val="0045607B"/>
    <w:rsid w:val="004B2C9D"/>
    <w:rsid w:val="004C444D"/>
    <w:rsid w:val="004D59DC"/>
    <w:rsid w:val="00523C13"/>
    <w:rsid w:val="00551205"/>
    <w:rsid w:val="005758DE"/>
    <w:rsid w:val="00576C56"/>
    <w:rsid w:val="005E048F"/>
    <w:rsid w:val="006156F2"/>
    <w:rsid w:val="00665C80"/>
    <w:rsid w:val="0068749A"/>
    <w:rsid w:val="00696CE3"/>
    <w:rsid w:val="00697C85"/>
    <w:rsid w:val="006D1375"/>
    <w:rsid w:val="00721B2F"/>
    <w:rsid w:val="00793C63"/>
    <w:rsid w:val="007A41B6"/>
    <w:rsid w:val="007D60C5"/>
    <w:rsid w:val="008257B8"/>
    <w:rsid w:val="00875D95"/>
    <w:rsid w:val="00883210"/>
    <w:rsid w:val="00887271"/>
    <w:rsid w:val="00892E58"/>
    <w:rsid w:val="008A457C"/>
    <w:rsid w:val="008A5508"/>
    <w:rsid w:val="008F3504"/>
    <w:rsid w:val="0090346F"/>
    <w:rsid w:val="009062CA"/>
    <w:rsid w:val="00926C6B"/>
    <w:rsid w:val="009350EA"/>
    <w:rsid w:val="00955105"/>
    <w:rsid w:val="0099486A"/>
    <w:rsid w:val="009B5211"/>
    <w:rsid w:val="009B5605"/>
    <w:rsid w:val="009C6493"/>
    <w:rsid w:val="00A26529"/>
    <w:rsid w:val="00A30F91"/>
    <w:rsid w:val="00A34B1E"/>
    <w:rsid w:val="00A615C8"/>
    <w:rsid w:val="00AF1832"/>
    <w:rsid w:val="00B173A6"/>
    <w:rsid w:val="00B53B56"/>
    <w:rsid w:val="00B5689C"/>
    <w:rsid w:val="00B651C0"/>
    <w:rsid w:val="00BA35D0"/>
    <w:rsid w:val="00BD6986"/>
    <w:rsid w:val="00C53D8B"/>
    <w:rsid w:val="00CC12CA"/>
    <w:rsid w:val="00CD3FCA"/>
    <w:rsid w:val="00CE438C"/>
    <w:rsid w:val="00CE450C"/>
    <w:rsid w:val="00CF0AA8"/>
    <w:rsid w:val="00CF0C10"/>
    <w:rsid w:val="00D604CB"/>
    <w:rsid w:val="00D61BFF"/>
    <w:rsid w:val="00DB0025"/>
    <w:rsid w:val="00DE123C"/>
    <w:rsid w:val="00DF3EBC"/>
    <w:rsid w:val="00DF63D7"/>
    <w:rsid w:val="00E52BF3"/>
    <w:rsid w:val="00E750FD"/>
    <w:rsid w:val="00E80B89"/>
    <w:rsid w:val="00EE05CD"/>
    <w:rsid w:val="00EE31C1"/>
    <w:rsid w:val="00EF3E29"/>
    <w:rsid w:val="00F10DD8"/>
    <w:rsid w:val="00F15E25"/>
    <w:rsid w:val="00F26F81"/>
    <w:rsid w:val="00F36F46"/>
    <w:rsid w:val="00F56E60"/>
    <w:rsid w:val="00FA5439"/>
    <w:rsid w:val="00FB4111"/>
    <w:rsid w:val="00FC557B"/>
    <w:rsid w:val="00FC5E39"/>
    <w:rsid w:val="00FD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1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E58"/>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892E58"/>
    <w:rPr>
      <w:rFonts w:ascii="Lucida Grande" w:hAnsi="Lucida Grande"/>
      <w:sz w:val="18"/>
      <w:szCs w:val="18"/>
    </w:rPr>
  </w:style>
  <w:style w:type="paragraph" w:styleId="Header">
    <w:name w:val="header"/>
    <w:basedOn w:val="Normal"/>
    <w:link w:val="HeaderChar"/>
    <w:uiPriority w:val="99"/>
    <w:unhideWhenUsed/>
    <w:rsid w:val="00892E58"/>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892E58"/>
  </w:style>
  <w:style w:type="paragraph" w:styleId="Footer">
    <w:name w:val="footer"/>
    <w:basedOn w:val="Normal"/>
    <w:link w:val="FooterChar"/>
    <w:uiPriority w:val="99"/>
    <w:unhideWhenUsed/>
    <w:rsid w:val="00892E58"/>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892E58"/>
  </w:style>
  <w:style w:type="table" w:styleId="TableGrid">
    <w:name w:val="Table Grid"/>
    <w:basedOn w:val="TableNormal"/>
    <w:uiPriority w:val="59"/>
    <w:rsid w:val="00FB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3D7"/>
    <w:rPr>
      <w:rFonts w:eastAsiaTheme="minorHAnsi"/>
      <w:sz w:val="22"/>
      <w:szCs w:val="22"/>
    </w:rPr>
  </w:style>
  <w:style w:type="character" w:customStyle="1" w:styleId="apple-style-span">
    <w:name w:val="apple-style-span"/>
    <w:basedOn w:val="DefaultParagraphFont"/>
    <w:rsid w:val="004204D5"/>
  </w:style>
  <w:style w:type="paragraph" w:customStyle="1" w:styleId="Default">
    <w:name w:val="Default"/>
    <w:rsid w:val="00DE123C"/>
    <w:pPr>
      <w:autoSpaceDE w:val="0"/>
      <w:autoSpaceDN w:val="0"/>
      <w:adjustRightInd w:val="0"/>
    </w:pPr>
    <w:rPr>
      <w:rFonts w:ascii="Elephant" w:hAnsi="Elephant" w:cs="Elephant"/>
      <w:color w:val="000000"/>
    </w:rPr>
  </w:style>
  <w:style w:type="paragraph" w:styleId="ListParagraph">
    <w:name w:val="List Paragraph"/>
    <w:basedOn w:val="Normal"/>
    <w:uiPriority w:val="34"/>
    <w:qFormat/>
    <w:rsid w:val="009350EA"/>
    <w:pPr>
      <w:ind w:left="720"/>
      <w:contextualSpacing/>
    </w:pPr>
  </w:style>
  <w:style w:type="paragraph" w:styleId="NormalWeb">
    <w:name w:val="Normal (Web)"/>
    <w:basedOn w:val="Normal"/>
    <w:uiPriority w:val="99"/>
    <w:semiHidden/>
    <w:unhideWhenUsed/>
    <w:rsid w:val="000209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048F"/>
    <w:rPr>
      <w:color w:val="0000FF"/>
      <w:u w:val="single"/>
    </w:rPr>
  </w:style>
  <w:style w:type="character" w:styleId="Emphasis">
    <w:name w:val="Emphasis"/>
    <w:basedOn w:val="DefaultParagraphFont"/>
    <w:uiPriority w:val="20"/>
    <w:qFormat/>
    <w:rsid w:val="005E048F"/>
    <w:rPr>
      <w:i/>
      <w:iCs/>
    </w:rPr>
  </w:style>
  <w:style w:type="character" w:styleId="CommentReference">
    <w:name w:val="annotation reference"/>
    <w:basedOn w:val="DefaultParagraphFont"/>
    <w:uiPriority w:val="99"/>
    <w:semiHidden/>
    <w:unhideWhenUsed/>
    <w:rsid w:val="005758DE"/>
    <w:rPr>
      <w:sz w:val="16"/>
      <w:szCs w:val="16"/>
    </w:rPr>
  </w:style>
  <w:style w:type="paragraph" w:styleId="CommentText">
    <w:name w:val="annotation text"/>
    <w:basedOn w:val="Normal"/>
    <w:link w:val="CommentTextChar"/>
    <w:uiPriority w:val="99"/>
    <w:semiHidden/>
    <w:unhideWhenUsed/>
    <w:rsid w:val="005758DE"/>
    <w:pPr>
      <w:spacing w:line="240" w:lineRule="auto"/>
    </w:pPr>
    <w:rPr>
      <w:sz w:val="20"/>
      <w:szCs w:val="20"/>
    </w:rPr>
  </w:style>
  <w:style w:type="character" w:customStyle="1" w:styleId="CommentTextChar">
    <w:name w:val="Comment Text Char"/>
    <w:basedOn w:val="DefaultParagraphFont"/>
    <w:link w:val="CommentText"/>
    <w:uiPriority w:val="99"/>
    <w:semiHidden/>
    <w:rsid w:val="005758D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758DE"/>
    <w:rPr>
      <w:b/>
      <w:bCs/>
    </w:rPr>
  </w:style>
  <w:style w:type="character" w:customStyle="1" w:styleId="CommentSubjectChar">
    <w:name w:val="Comment Subject Char"/>
    <w:basedOn w:val="CommentTextChar"/>
    <w:link w:val="CommentSubject"/>
    <w:uiPriority w:val="99"/>
    <w:semiHidden/>
    <w:rsid w:val="005758DE"/>
    <w:rPr>
      <w:rFonts w:eastAsiaTheme="minorHAnsi"/>
      <w:b/>
      <w:bCs/>
      <w:sz w:val="20"/>
      <w:szCs w:val="20"/>
    </w:rPr>
  </w:style>
  <w:style w:type="paragraph" w:styleId="Revision">
    <w:name w:val="Revision"/>
    <w:hidden/>
    <w:uiPriority w:val="99"/>
    <w:semiHidden/>
    <w:rsid w:val="005758DE"/>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1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E58"/>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892E58"/>
    <w:rPr>
      <w:rFonts w:ascii="Lucida Grande" w:hAnsi="Lucida Grande"/>
      <w:sz w:val="18"/>
      <w:szCs w:val="18"/>
    </w:rPr>
  </w:style>
  <w:style w:type="paragraph" w:styleId="Header">
    <w:name w:val="header"/>
    <w:basedOn w:val="Normal"/>
    <w:link w:val="HeaderChar"/>
    <w:uiPriority w:val="99"/>
    <w:unhideWhenUsed/>
    <w:rsid w:val="00892E58"/>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892E58"/>
  </w:style>
  <w:style w:type="paragraph" w:styleId="Footer">
    <w:name w:val="footer"/>
    <w:basedOn w:val="Normal"/>
    <w:link w:val="FooterChar"/>
    <w:uiPriority w:val="99"/>
    <w:unhideWhenUsed/>
    <w:rsid w:val="00892E58"/>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892E58"/>
  </w:style>
  <w:style w:type="table" w:styleId="TableGrid">
    <w:name w:val="Table Grid"/>
    <w:basedOn w:val="TableNormal"/>
    <w:uiPriority w:val="59"/>
    <w:rsid w:val="00FB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3D7"/>
    <w:rPr>
      <w:rFonts w:eastAsiaTheme="minorHAnsi"/>
      <w:sz w:val="22"/>
      <w:szCs w:val="22"/>
    </w:rPr>
  </w:style>
  <w:style w:type="character" w:customStyle="1" w:styleId="apple-style-span">
    <w:name w:val="apple-style-span"/>
    <w:basedOn w:val="DefaultParagraphFont"/>
    <w:rsid w:val="004204D5"/>
  </w:style>
  <w:style w:type="paragraph" w:customStyle="1" w:styleId="Default">
    <w:name w:val="Default"/>
    <w:rsid w:val="00DE123C"/>
    <w:pPr>
      <w:autoSpaceDE w:val="0"/>
      <w:autoSpaceDN w:val="0"/>
      <w:adjustRightInd w:val="0"/>
    </w:pPr>
    <w:rPr>
      <w:rFonts w:ascii="Elephant" w:hAnsi="Elephant" w:cs="Elephant"/>
      <w:color w:val="000000"/>
    </w:rPr>
  </w:style>
  <w:style w:type="paragraph" w:styleId="ListParagraph">
    <w:name w:val="List Paragraph"/>
    <w:basedOn w:val="Normal"/>
    <w:uiPriority w:val="34"/>
    <w:qFormat/>
    <w:rsid w:val="009350EA"/>
    <w:pPr>
      <w:ind w:left="720"/>
      <w:contextualSpacing/>
    </w:pPr>
  </w:style>
  <w:style w:type="paragraph" w:styleId="NormalWeb">
    <w:name w:val="Normal (Web)"/>
    <w:basedOn w:val="Normal"/>
    <w:uiPriority w:val="99"/>
    <w:semiHidden/>
    <w:unhideWhenUsed/>
    <w:rsid w:val="000209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048F"/>
    <w:rPr>
      <w:color w:val="0000FF"/>
      <w:u w:val="single"/>
    </w:rPr>
  </w:style>
  <w:style w:type="character" w:styleId="Emphasis">
    <w:name w:val="Emphasis"/>
    <w:basedOn w:val="DefaultParagraphFont"/>
    <w:uiPriority w:val="20"/>
    <w:qFormat/>
    <w:rsid w:val="005E048F"/>
    <w:rPr>
      <w:i/>
      <w:iCs/>
    </w:rPr>
  </w:style>
  <w:style w:type="character" w:styleId="CommentReference">
    <w:name w:val="annotation reference"/>
    <w:basedOn w:val="DefaultParagraphFont"/>
    <w:uiPriority w:val="99"/>
    <w:semiHidden/>
    <w:unhideWhenUsed/>
    <w:rsid w:val="005758DE"/>
    <w:rPr>
      <w:sz w:val="16"/>
      <w:szCs w:val="16"/>
    </w:rPr>
  </w:style>
  <w:style w:type="paragraph" w:styleId="CommentText">
    <w:name w:val="annotation text"/>
    <w:basedOn w:val="Normal"/>
    <w:link w:val="CommentTextChar"/>
    <w:uiPriority w:val="99"/>
    <w:semiHidden/>
    <w:unhideWhenUsed/>
    <w:rsid w:val="005758DE"/>
    <w:pPr>
      <w:spacing w:line="240" w:lineRule="auto"/>
    </w:pPr>
    <w:rPr>
      <w:sz w:val="20"/>
      <w:szCs w:val="20"/>
    </w:rPr>
  </w:style>
  <w:style w:type="character" w:customStyle="1" w:styleId="CommentTextChar">
    <w:name w:val="Comment Text Char"/>
    <w:basedOn w:val="DefaultParagraphFont"/>
    <w:link w:val="CommentText"/>
    <w:uiPriority w:val="99"/>
    <w:semiHidden/>
    <w:rsid w:val="005758D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758DE"/>
    <w:rPr>
      <w:b/>
      <w:bCs/>
    </w:rPr>
  </w:style>
  <w:style w:type="character" w:customStyle="1" w:styleId="CommentSubjectChar">
    <w:name w:val="Comment Subject Char"/>
    <w:basedOn w:val="CommentTextChar"/>
    <w:link w:val="CommentSubject"/>
    <w:uiPriority w:val="99"/>
    <w:semiHidden/>
    <w:rsid w:val="005758DE"/>
    <w:rPr>
      <w:rFonts w:eastAsiaTheme="minorHAnsi"/>
      <w:b/>
      <w:bCs/>
      <w:sz w:val="20"/>
      <w:szCs w:val="20"/>
    </w:rPr>
  </w:style>
  <w:style w:type="paragraph" w:styleId="Revision">
    <w:name w:val="Revision"/>
    <w:hidden/>
    <w:uiPriority w:val="99"/>
    <w:semiHidden/>
    <w:rsid w:val="005758D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38269">
      <w:bodyDiv w:val="1"/>
      <w:marLeft w:val="0"/>
      <w:marRight w:val="0"/>
      <w:marTop w:val="0"/>
      <w:marBottom w:val="0"/>
      <w:divBdr>
        <w:top w:val="none" w:sz="0" w:space="0" w:color="auto"/>
        <w:left w:val="none" w:sz="0" w:space="0" w:color="auto"/>
        <w:bottom w:val="none" w:sz="0" w:space="0" w:color="auto"/>
        <w:right w:val="none" w:sz="0" w:space="0" w:color="auto"/>
      </w:divBdr>
      <w:divsChild>
        <w:div w:id="1840197542">
          <w:marLeft w:val="0"/>
          <w:marRight w:val="0"/>
          <w:marTop w:val="0"/>
          <w:marBottom w:val="0"/>
          <w:divBdr>
            <w:top w:val="none" w:sz="0" w:space="0" w:color="auto"/>
            <w:left w:val="none" w:sz="0" w:space="0" w:color="auto"/>
            <w:bottom w:val="none" w:sz="0" w:space="0" w:color="auto"/>
            <w:right w:val="none" w:sz="0" w:space="0" w:color="auto"/>
          </w:divBdr>
          <w:divsChild>
            <w:div w:id="1342245731">
              <w:marLeft w:val="0"/>
              <w:marRight w:val="0"/>
              <w:marTop w:val="0"/>
              <w:marBottom w:val="0"/>
              <w:divBdr>
                <w:top w:val="none" w:sz="0" w:space="0" w:color="auto"/>
                <w:left w:val="none" w:sz="0" w:space="0" w:color="auto"/>
                <w:bottom w:val="none" w:sz="0" w:space="0" w:color="auto"/>
                <w:right w:val="none" w:sz="0" w:space="0" w:color="auto"/>
              </w:divBdr>
              <w:divsChild>
                <w:div w:id="349071266">
                  <w:marLeft w:val="0"/>
                  <w:marRight w:val="0"/>
                  <w:marTop w:val="0"/>
                  <w:marBottom w:val="0"/>
                  <w:divBdr>
                    <w:top w:val="none" w:sz="0" w:space="0" w:color="auto"/>
                    <w:left w:val="none" w:sz="0" w:space="0" w:color="auto"/>
                    <w:bottom w:val="none" w:sz="0" w:space="0" w:color="auto"/>
                    <w:right w:val="none" w:sz="0" w:space="0" w:color="auto"/>
                  </w:divBdr>
                  <w:divsChild>
                    <w:div w:id="645404260">
                      <w:marLeft w:val="0"/>
                      <w:marRight w:val="0"/>
                      <w:marTop w:val="0"/>
                      <w:marBottom w:val="0"/>
                      <w:divBdr>
                        <w:top w:val="none" w:sz="0" w:space="0" w:color="auto"/>
                        <w:left w:val="none" w:sz="0" w:space="0" w:color="auto"/>
                        <w:bottom w:val="none" w:sz="0" w:space="0" w:color="auto"/>
                        <w:right w:val="none" w:sz="0" w:space="0" w:color="auto"/>
                      </w:divBdr>
                      <w:divsChild>
                        <w:div w:id="1671716228">
                          <w:marLeft w:val="0"/>
                          <w:marRight w:val="0"/>
                          <w:marTop w:val="0"/>
                          <w:marBottom w:val="0"/>
                          <w:divBdr>
                            <w:top w:val="none" w:sz="0" w:space="0" w:color="auto"/>
                            <w:left w:val="none" w:sz="0" w:space="0" w:color="auto"/>
                            <w:bottom w:val="none" w:sz="0" w:space="0" w:color="auto"/>
                            <w:right w:val="none" w:sz="0" w:space="0" w:color="auto"/>
                          </w:divBdr>
                          <w:divsChild>
                            <w:div w:id="14198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88567">
      <w:bodyDiv w:val="1"/>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2058965181">
              <w:marLeft w:val="1200"/>
              <w:marRight w:val="0"/>
              <w:marTop w:val="0"/>
              <w:marBottom w:val="0"/>
              <w:divBdr>
                <w:top w:val="none" w:sz="0" w:space="0" w:color="auto"/>
                <w:left w:val="none" w:sz="0" w:space="0" w:color="auto"/>
                <w:bottom w:val="none" w:sz="0" w:space="0" w:color="auto"/>
                <w:right w:val="none" w:sz="0" w:space="0" w:color="auto"/>
              </w:divBdr>
              <w:divsChild>
                <w:div w:id="846677857">
                  <w:marLeft w:val="0"/>
                  <w:marRight w:val="0"/>
                  <w:marTop w:val="0"/>
                  <w:marBottom w:val="0"/>
                  <w:divBdr>
                    <w:top w:val="none" w:sz="0" w:space="0" w:color="auto"/>
                    <w:left w:val="none" w:sz="0" w:space="0" w:color="auto"/>
                    <w:bottom w:val="none" w:sz="0" w:space="0" w:color="auto"/>
                    <w:right w:val="none" w:sz="0" w:space="0" w:color="auto"/>
                  </w:divBdr>
                  <w:divsChild>
                    <w:div w:id="1937640610">
                      <w:marLeft w:val="0"/>
                      <w:marRight w:val="0"/>
                      <w:marTop w:val="0"/>
                      <w:marBottom w:val="0"/>
                      <w:divBdr>
                        <w:top w:val="none" w:sz="0" w:space="0" w:color="auto"/>
                        <w:left w:val="none" w:sz="0" w:space="0" w:color="auto"/>
                        <w:bottom w:val="none" w:sz="0" w:space="0" w:color="auto"/>
                        <w:right w:val="none" w:sz="0" w:space="0" w:color="auto"/>
                      </w:divBdr>
                      <w:divsChild>
                        <w:div w:id="7318543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8971297">
      <w:bodyDiv w:val="1"/>
      <w:marLeft w:val="0"/>
      <w:marRight w:val="0"/>
      <w:marTop w:val="0"/>
      <w:marBottom w:val="0"/>
      <w:divBdr>
        <w:top w:val="none" w:sz="0" w:space="0" w:color="auto"/>
        <w:left w:val="none" w:sz="0" w:space="0" w:color="auto"/>
        <w:bottom w:val="none" w:sz="0" w:space="0" w:color="auto"/>
        <w:right w:val="none" w:sz="0" w:space="0" w:color="auto"/>
      </w:divBdr>
      <w:divsChild>
        <w:div w:id="1648124554">
          <w:marLeft w:val="0"/>
          <w:marRight w:val="0"/>
          <w:marTop w:val="0"/>
          <w:marBottom w:val="0"/>
          <w:divBdr>
            <w:top w:val="none" w:sz="0" w:space="0" w:color="auto"/>
            <w:left w:val="none" w:sz="0" w:space="0" w:color="auto"/>
            <w:bottom w:val="none" w:sz="0" w:space="0" w:color="auto"/>
            <w:right w:val="none" w:sz="0" w:space="0" w:color="auto"/>
          </w:divBdr>
          <w:divsChild>
            <w:div w:id="1470173468">
              <w:marLeft w:val="1200"/>
              <w:marRight w:val="0"/>
              <w:marTop w:val="0"/>
              <w:marBottom w:val="0"/>
              <w:divBdr>
                <w:top w:val="none" w:sz="0" w:space="0" w:color="auto"/>
                <w:left w:val="none" w:sz="0" w:space="0" w:color="auto"/>
                <w:bottom w:val="none" w:sz="0" w:space="0" w:color="auto"/>
                <w:right w:val="none" w:sz="0" w:space="0" w:color="auto"/>
              </w:divBdr>
              <w:divsChild>
                <w:div w:id="1526678165">
                  <w:marLeft w:val="0"/>
                  <w:marRight w:val="0"/>
                  <w:marTop w:val="0"/>
                  <w:marBottom w:val="0"/>
                  <w:divBdr>
                    <w:top w:val="none" w:sz="0" w:space="0" w:color="auto"/>
                    <w:left w:val="none" w:sz="0" w:space="0" w:color="auto"/>
                    <w:bottom w:val="none" w:sz="0" w:space="0" w:color="auto"/>
                    <w:right w:val="none" w:sz="0" w:space="0" w:color="auto"/>
                  </w:divBdr>
                  <w:divsChild>
                    <w:div w:id="2027050322">
                      <w:marLeft w:val="0"/>
                      <w:marRight w:val="0"/>
                      <w:marTop w:val="0"/>
                      <w:marBottom w:val="0"/>
                      <w:divBdr>
                        <w:top w:val="none" w:sz="0" w:space="0" w:color="auto"/>
                        <w:left w:val="none" w:sz="0" w:space="0" w:color="auto"/>
                        <w:bottom w:val="none" w:sz="0" w:space="0" w:color="auto"/>
                        <w:right w:val="none" w:sz="0" w:space="0" w:color="auto"/>
                      </w:divBdr>
                      <w:divsChild>
                        <w:div w:id="3349623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750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alaniz@sph.tamhsc.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hi.org/offerings/Initiatives/TripleAim/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mhsc.edu/1115-waiver/rhp8.html" TargetMode="External"/><Relationship Id="rId5" Type="http://schemas.openxmlformats.org/officeDocument/2006/relationships/settings" Target="settings.xml"/><Relationship Id="rId15" Type="http://schemas.openxmlformats.org/officeDocument/2006/relationships/hyperlink" Target="mailto:glawson@tamhsc.edu" TargetMode="External"/><Relationship Id="rId10" Type="http://schemas.openxmlformats.org/officeDocument/2006/relationships/image" Target="media/image10.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logalbo@tamhsc.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0975-6ECE-437C-B422-B7D85455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 iMac02012013</dc:creator>
  <cp:lastModifiedBy>Bienski, Jennifer</cp:lastModifiedBy>
  <cp:revision>4</cp:revision>
  <cp:lastPrinted>2014-05-08T23:10:00Z</cp:lastPrinted>
  <dcterms:created xsi:type="dcterms:W3CDTF">2014-07-18T16:14:00Z</dcterms:created>
  <dcterms:modified xsi:type="dcterms:W3CDTF">2014-07-18T16:17:00Z</dcterms:modified>
</cp:coreProperties>
</file>