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4A3F" w:rsidRDefault="00884A3F">
      <w:pPr>
        <w:pStyle w:val="BodyText"/>
        <w:ind w:left="0" w:firstLine="0"/>
        <w:rPr>
          <w:rFonts w:ascii="Times New Roman"/>
          <w:sz w:val="20"/>
        </w:rPr>
      </w:pPr>
    </w:p>
    <w:p w:rsidR="00884A3F" w:rsidRDefault="00884A3F">
      <w:pPr>
        <w:pStyle w:val="BodyText"/>
        <w:spacing w:before="9"/>
        <w:ind w:left="0" w:firstLine="0"/>
        <w:rPr>
          <w:rFonts w:ascii="Times New Roman"/>
          <w:sz w:val="15"/>
        </w:rPr>
      </w:pPr>
    </w:p>
    <w:p w:rsidR="00884A3F" w:rsidRDefault="00EF73AA">
      <w:pPr>
        <w:pStyle w:val="Heading1"/>
        <w:spacing w:before="28" w:line="439" w:lineRule="exact"/>
        <w:ind w:right="2612"/>
      </w:pPr>
      <w:r>
        <w:rPr>
          <w:noProof/>
        </w:rPr>
        <w:drawing>
          <wp:anchor distT="0" distB="0" distL="0" distR="0" simplePos="0" relativeHeight="251656704" behindDoc="0" locked="0" layoutInCell="1" allowOverlap="1">
            <wp:simplePos x="0" y="0"/>
            <wp:positionH relativeFrom="page">
              <wp:posOffset>304800</wp:posOffset>
            </wp:positionH>
            <wp:positionV relativeFrom="paragraph">
              <wp:posOffset>-261382</wp:posOffset>
            </wp:positionV>
            <wp:extent cx="1066800" cy="1066800"/>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1066800" cy="1066800"/>
                    </a:xfrm>
                    <a:prstGeom prst="rect">
                      <a:avLst/>
                    </a:prstGeom>
                  </pic:spPr>
                </pic:pic>
              </a:graphicData>
            </a:graphic>
          </wp:anchor>
        </w:drawing>
      </w:r>
      <w:r>
        <w:rPr>
          <w:noProof/>
        </w:rPr>
        <w:drawing>
          <wp:anchor distT="0" distB="0" distL="0" distR="0" simplePos="0" relativeHeight="251657728" behindDoc="0" locked="0" layoutInCell="1" allowOverlap="1">
            <wp:simplePos x="0" y="0"/>
            <wp:positionH relativeFrom="page">
              <wp:posOffset>6096000</wp:posOffset>
            </wp:positionH>
            <wp:positionV relativeFrom="paragraph">
              <wp:posOffset>-261382</wp:posOffset>
            </wp:positionV>
            <wp:extent cx="1133475" cy="1133475"/>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6" cstate="print"/>
                    <a:stretch>
                      <a:fillRect/>
                    </a:stretch>
                  </pic:blipFill>
                  <pic:spPr>
                    <a:xfrm>
                      <a:off x="0" y="0"/>
                      <a:ext cx="1133475" cy="1133475"/>
                    </a:xfrm>
                    <a:prstGeom prst="rect">
                      <a:avLst/>
                    </a:prstGeom>
                  </pic:spPr>
                </pic:pic>
              </a:graphicData>
            </a:graphic>
          </wp:anchor>
        </w:drawing>
      </w:r>
      <w:r>
        <w:t>Regional Healthcare Partnerships 8 and 17</w:t>
      </w:r>
    </w:p>
    <w:p w:rsidR="00884A3F" w:rsidRDefault="00EF73AA">
      <w:pPr>
        <w:spacing w:line="342" w:lineRule="exact"/>
        <w:ind w:left="2316" w:right="2611"/>
        <w:jc w:val="center"/>
        <w:rPr>
          <w:b/>
          <w:sz w:val="28"/>
        </w:rPr>
      </w:pPr>
      <w:r>
        <w:rPr>
          <w:b/>
          <w:sz w:val="28"/>
        </w:rPr>
        <w:t>Joint Monthly Learning Collaborative Webinar</w:t>
      </w:r>
    </w:p>
    <w:p w:rsidR="00884A3F" w:rsidRDefault="00EF73AA">
      <w:pPr>
        <w:pStyle w:val="BodyText"/>
        <w:spacing w:before="7"/>
        <w:ind w:left="0" w:firstLine="0"/>
        <w:rPr>
          <w:b/>
          <w:sz w:val="26"/>
        </w:rPr>
      </w:pPr>
      <w:r>
        <w:pict>
          <v:line id="_x0000_s1026" style="position:absolute;z-index:251658752;mso-wrap-distance-left:0;mso-wrap-distance-right:0;mso-position-horizontal-relative:page" from="115.6pt,18.95pt" to="472.55pt,18.95pt" strokeweight="1.44pt">
            <w10:wrap type="topAndBottom" anchorx="page"/>
          </v:line>
        </w:pict>
      </w:r>
    </w:p>
    <w:p w:rsidR="00884A3F" w:rsidRDefault="00EF73AA">
      <w:pPr>
        <w:pStyle w:val="Heading1"/>
        <w:spacing w:before="91"/>
      </w:pPr>
      <w:r>
        <w:t>ATTENDANCE</w:t>
      </w:r>
    </w:p>
    <w:p w:rsidR="00884A3F" w:rsidRDefault="00884A3F">
      <w:pPr>
        <w:pStyle w:val="BodyText"/>
        <w:ind w:left="0" w:firstLine="0"/>
        <w:rPr>
          <w:b/>
          <w:sz w:val="20"/>
        </w:rPr>
      </w:pPr>
    </w:p>
    <w:p w:rsidR="00884A3F" w:rsidRDefault="00884A3F">
      <w:pPr>
        <w:pStyle w:val="BodyText"/>
        <w:spacing w:before="1"/>
        <w:ind w:left="0" w:firstLine="0"/>
        <w:rPr>
          <w:b/>
          <w:sz w:val="26"/>
        </w:rPr>
      </w:pPr>
    </w:p>
    <w:tbl>
      <w:tblPr>
        <w:tblW w:w="0" w:type="auto"/>
        <w:tblInd w:w="2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67"/>
        <w:gridCol w:w="3334"/>
        <w:gridCol w:w="271"/>
        <w:gridCol w:w="1980"/>
        <w:gridCol w:w="3236"/>
      </w:tblGrid>
      <w:tr w:rsidR="00884A3F">
        <w:trPr>
          <w:trHeight w:hRule="exact" w:val="266"/>
        </w:trPr>
        <w:tc>
          <w:tcPr>
            <w:tcW w:w="2067" w:type="dxa"/>
          </w:tcPr>
          <w:p w:rsidR="00884A3F" w:rsidRDefault="00EF73AA">
            <w:pPr>
              <w:pStyle w:val="TableParagraph"/>
              <w:spacing w:line="256" w:lineRule="exact"/>
              <w:ind w:left="465"/>
              <w:rPr>
                <w:b/>
                <w:sz w:val="21"/>
              </w:rPr>
            </w:pPr>
            <w:r>
              <w:rPr>
                <w:b/>
                <w:sz w:val="21"/>
              </w:rPr>
              <w:t>Organization</w:t>
            </w:r>
          </w:p>
        </w:tc>
        <w:tc>
          <w:tcPr>
            <w:tcW w:w="3334" w:type="dxa"/>
          </w:tcPr>
          <w:p w:rsidR="00884A3F" w:rsidRDefault="00EF73AA">
            <w:pPr>
              <w:pStyle w:val="TableParagraph"/>
              <w:spacing w:line="256" w:lineRule="exact"/>
              <w:ind w:left="1277" w:right="1273"/>
              <w:jc w:val="center"/>
              <w:rPr>
                <w:b/>
                <w:sz w:val="21"/>
              </w:rPr>
            </w:pPr>
            <w:r>
              <w:rPr>
                <w:b/>
                <w:sz w:val="21"/>
              </w:rPr>
              <w:t>Name(s)</w:t>
            </w:r>
          </w:p>
        </w:tc>
        <w:tc>
          <w:tcPr>
            <w:tcW w:w="271" w:type="dxa"/>
            <w:vMerge w:val="restart"/>
          </w:tcPr>
          <w:p w:rsidR="00884A3F" w:rsidRDefault="00884A3F"/>
        </w:tc>
        <w:tc>
          <w:tcPr>
            <w:tcW w:w="1980" w:type="dxa"/>
          </w:tcPr>
          <w:p w:rsidR="00884A3F" w:rsidRDefault="00EF73AA">
            <w:pPr>
              <w:pStyle w:val="TableParagraph"/>
              <w:spacing w:line="256" w:lineRule="exact"/>
              <w:ind w:left="85" w:right="83"/>
              <w:jc w:val="center"/>
              <w:rPr>
                <w:b/>
                <w:sz w:val="21"/>
              </w:rPr>
            </w:pPr>
            <w:r>
              <w:rPr>
                <w:b/>
                <w:sz w:val="21"/>
              </w:rPr>
              <w:t>Organization</w:t>
            </w:r>
          </w:p>
        </w:tc>
        <w:tc>
          <w:tcPr>
            <w:tcW w:w="3236" w:type="dxa"/>
          </w:tcPr>
          <w:p w:rsidR="00884A3F" w:rsidRDefault="00EF73AA">
            <w:pPr>
              <w:pStyle w:val="TableParagraph"/>
              <w:spacing w:line="256" w:lineRule="exact"/>
              <w:ind w:left="1227" w:right="1226"/>
              <w:jc w:val="center"/>
              <w:rPr>
                <w:b/>
                <w:sz w:val="21"/>
              </w:rPr>
            </w:pPr>
            <w:r>
              <w:rPr>
                <w:b/>
                <w:sz w:val="21"/>
              </w:rPr>
              <w:t>Name(s)</w:t>
            </w:r>
          </w:p>
        </w:tc>
      </w:tr>
      <w:tr w:rsidR="00884A3F">
        <w:trPr>
          <w:trHeight w:hRule="exact" w:val="523"/>
        </w:trPr>
        <w:tc>
          <w:tcPr>
            <w:tcW w:w="2067" w:type="dxa"/>
          </w:tcPr>
          <w:p w:rsidR="00884A3F" w:rsidRDefault="00EF73AA">
            <w:pPr>
              <w:pStyle w:val="TableParagraph"/>
              <w:spacing w:line="255" w:lineRule="exact"/>
              <w:rPr>
                <w:sz w:val="21"/>
              </w:rPr>
            </w:pPr>
            <w:r>
              <w:rPr>
                <w:sz w:val="21"/>
              </w:rPr>
              <w:t>Baylor Scott &amp; White</w:t>
            </w:r>
          </w:p>
          <w:p w:rsidR="00884A3F" w:rsidRDefault="00EF73AA">
            <w:pPr>
              <w:pStyle w:val="TableParagraph"/>
              <w:spacing w:line="255" w:lineRule="exact"/>
              <w:rPr>
                <w:sz w:val="21"/>
              </w:rPr>
            </w:pPr>
            <w:r>
              <w:rPr>
                <w:sz w:val="21"/>
              </w:rPr>
              <w:t>– Brenham</w:t>
            </w:r>
          </w:p>
        </w:tc>
        <w:tc>
          <w:tcPr>
            <w:tcW w:w="3334" w:type="dxa"/>
            <w:vMerge w:val="restart"/>
          </w:tcPr>
          <w:p w:rsidR="00884A3F" w:rsidRDefault="00EF73AA">
            <w:pPr>
              <w:pStyle w:val="TableParagraph"/>
              <w:spacing w:line="256" w:lineRule="exact"/>
              <w:rPr>
                <w:sz w:val="21"/>
              </w:rPr>
            </w:pPr>
            <w:r>
              <w:rPr>
                <w:color w:val="FF0000"/>
                <w:sz w:val="21"/>
              </w:rPr>
              <w:t xml:space="preserve">Gabby </w:t>
            </w:r>
            <w:proofErr w:type="spellStart"/>
            <w:r>
              <w:rPr>
                <w:color w:val="FF0000"/>
                <w:sz w:val="21"/>
              </w:rPr>
              <w:t>Menz</w:t>
            </w:r>
            <w:proofErr w:type="spellEnd"/>
            <w:r>
              <w:rPr>
                <w:color w:val="FF0000"/>
                <w:sz w:val="21"/>
              </w:rPr>
              <w:t>; Kelsey Crawford</w:t>
            </w:r>
          </w:p>
        </w:tc>
        <w:tc>
          <w:tcPr>
            <w:tcW w:w="271" w:type="dxa"/>
            <w:vMerge/>
          </w:tcPr>
          <w:p w:rsidR="00884A3F" w:rsidRDefault="00884A3F"/>
        </w:tc>
        <w:tc>
          <w:tcPr>
            <w:tcW w:w="1980" w:type="dxa"/>
          </w:tcPr>
          <w:p w:rsidR="00884A3F" w:rsidRDefault="00EF73AA">
            <w:pPr>
              <w:pStyle w:val="TableParagraph"/>
              <w:spacing w:line="240" w:lineRule="auto"/>
              <w:ind w:right="164"/>
              <w:rPr>
                <w:sz w:val="21"/>
              </w:rPr>
            </w:pPr>
            <w:r>
              <w:rPr>
                <w:sz w:val="21"/>
              </w:rPr>
              <w:t>MHMR Authority of Brazos Valley</w:t>
            </w:r>
          </w:p>
        </w:tc>
        <w:tc>
          <w:tcPr>
            <w:tcW w:w="3236" w:type="dxa"/>
          </w:tcPr>
          <w:p w:rsidR="00884A3F" w:rsidRDefault="00EF73AA">
            <w:pPr>
              <w:pStyle w:val="TableParagraph"/>
              <w:spacing w:line="256" w:lineRule="exact"/>
              <w:rPr>
                <w:sz w:val="21"/>
              </w:rPr>
            </w:pPr>
            <w:r>
              <w:rPr>
                <w:color w:val="FF0000"/>
                <w:sz w:val="21"/>
              </w:rPr>
              <w:t>Bill Kelly; Bradley Bogdan</w:t>
            </w:r>
          </w:p>
        </w:tc>
      </w:tr>
      <w:tr w:rsidR="00884A3F">
        <w:trPr>
          <w:trHeight w:hRule="exact" w:val="780"/>
        </w:trPr>
        <w:tc>
          <w:tcPr>
            <w:tcW w:w="2067" w:type="dxa"/>
          </w:tcPr>
          <w:p w:rsidR="00884A3F" w:rsidRDefault="00EF73AA">
            <w:pPr>
              <w:pStyle w:val="TableParagraph"/>
              <w:rPr>
                <w:sz w:val="21"/>
              </w:rPr>
            </w:pPr>
            <w:r>
              <w:rPr>
                <w:sz w:val="21"/>
              </w:rPr>
              <w:t>Baylor Scott &amp; White</w:t>
            </w:r>
          </w:p>
          <w:p w:rsidR="00884A3F" w:rsidRDefault="00EF73AA">
            <w:pPr>
              <w:pStyle w:val="TableParagraph"/>
              <w:spacing w:line="240" w:lineRule="auto"/>
              <w:rPr>
                <w:sz w:val="21"/>
              </w:rPr>
            </w:pPr>
            <w:r>
              <w:rPr>
                <w:sz w:val="21"/>
              </w:rPr>
              <w:t>– Llano</w:t>
            </w:r>
          </w:p>
        </w:tc>
        <w:tc>
          <w:tcPr>
            <w:tcW w:w="3334" w:type="dxa"/>
            <w:vMerge/>
          </w:tcPr>
          <w:p w:rsidR="00884A3F" w:rsidRDefault="00884A3F"/>
        </w:tc>
        <w:tc>
          <w:tcPr>
            <w:tcW w:w="271" w:type="dxa"/>
            <w:vMerge/>
          </w:tcPr>
          <w:p w:rsidR="00884A3F" w:rsidRDefault="00884A3F"/>
        </w:tc>
        <w:tc>
          <w:tcPr>
            <w:tcW w:w="1980" w:type="dxa"/>
          </w:tcPr>
          <w:p w:rsidR="00884A3F" w:rsidRDefault="00EF73AA">
            <w:pPr>
              <w:pStyle w:val="TableParagraph"/>
              <w:spacing w:line="240" w:lineRule="auto"/>
              <w:ind w:right="488"/>
              <w:rPr>
                <w:sz w:val="21"/>
              </w:rPr>
            </w:pPr>
            <w:r>
              <w:rPr>
                <w:sz w:val="21"/>
              </w:rPr>
              <w:t>Montgomery County Public Hospital District</w:t>
            </w:r>
          </w:p>
        </w:tc>
        <w:tc>
          <w:tcPr>
            <w:tcW w:w="3236" w:type="dxa"/>
          </w:tcPr>
          <w:p w:rsidR="00884A3F" w:rsidRDefault="00884A3F"/>
        </w:tc>
      </w:tr>
      <w:tr w:rsidR="00884A3F">
        <w:trPr>
          <w:trHeight w:hRule="exact" w:val="524"/>
        </w:trPr>
        <w:tc>
          <w:tcPr>
            <w:tcW w:w="2067" w:type="dxa"/>
          </w:tcPr>
          <w:p w:rsidR="00884A3F" w:rsidRDefault="00EF73AA">
            <w:pPr>
              <w:pStyle w:val="TableParagraph"/>
              <w:spacing w:line="254" w:lineRule="exact"/>
              <w:rPr>
                <w:sz w:val="21"/>
              </w:rPr>
            </w:pPr>
            <w:r>
              <w:rPr>
                <w:sz w:val="21"/>
              </w:rPr>
              <w:t>Baylor Scott &amp; White</w:t>
            </w:r>
          </w:p>
          <w:p w:rsidR="00884A3F" w:rsidRDefault="00EF73AA">
            <w:pPr>
              <w:pStyle w:val="TableParagraph"/>
              <w:spacing w:line="240" w:lineRule="auto"/>
              <w:rPr>
                <w:sz w:val="21"/>
              </w:rPr>
            </w:pPr>
            <w:r>
              <w:rPr>
                <w:sz w:val="21"/>
              </w:rPr>
              <w:t>– Memorial</w:t>
            </w:r>
          </w:p>
        </w:tc>
        <w:tc>
          <w:tcPr>
            <w:tcW w:w="3334" w:type="dxa"/>
            <w:vMerge/>
          </w:tcPr>
          <w:p w:rsidR="00884A3F" w:rsidRDefault="00884A3F"/>
        </w:tc>
        <w:tc>
          <w:tcPr>
            <w:tcW w:w="271" w:type="dxa"/>
            <w:vMerge/>
          </w:tcPr>
          <w:p w:rsidR="00884A3F" w:rsidRDefault="00884A3F"/>
        </w:tc>
        <w:tc>
          <w:tcPr>
            <w:tcW w:w="1980" w:type="dxa"/>
          </w:tcPr>
          <w:p w:rsidR="00884A3F" w:rsidRDefault="00EF73AA">
            <w:pPr>
              <w:pStyle w:val="TableParagraph"/>
              <w:spacing w:line="240" w:lineRule="auto"/>
              <w:ind w:right="730"/>
              <w:rPr>
                <w:sz w:val="21"/>
              </w:rPr>
            </w:pPr>
            <w:r>
              <w:rPr>
                <w:sz w:val="21"/>
              </w:rPr>
              <w:t>Seton Harker Heights</w:t>
            </w:r>
          </w:p>
        </w:tc>
        <w:tc>
          <w:tcPr>
            <w:tcW w:w="3236" w:type="dxa"/>
          </w:tcPr>
          <w:p w:rsidR="00884A3F" w:rsidRDefault="00EF73AA">
            <w:pPr>
              <w:pStyle w:val="TableParagraph"/>
              <w:spacing w:line="254" w:lineRule="exact"/>
              <w:rPr>
                <w:sz w:val="21"/>
              </w:rPr>
            </w:pPr>
            <w:r>
              <w:rPr>
                <w:color w:val="FF0000"/>
                <w:sz w:val="21"/>
              </w:rPr>
              <w:t>Denise Curran</w:t>
            </w:r>
          </w:p>
        </w:tc>
      </w:tr>
      <w:tr w:rsidR="00884A3F">
        <w:trPr>
          <w:trHeight w:hRule="exact" w:val="521"/>
        </w:trPr>
        <w:tc>
          <w:tcPr>
            <w:tcW w:w="2067" w:type="dxa"/>
          </w:tcPr>
          <w:p w:rsidR="00884A3F" w:rsidRDefault="00EF73AA">
            <w:pPr>
              <w:pStyle w:val="TableParagraph"/>
              <w:spacing w:line="240" w:lineRule="auto"/>
              <w:ind w:right="401"/>
              <w:rPr>
                <w:sz w:val="21"/>
              </w:rPr>
            </w:pPr>
            <w:r>
              <w:rPr>
                <w:sz w:val="21"/>
              </w:rPr>
              <w:t>Bell County Public Health District</w:t>
            </w:r>
          </w:p>
        </w:tc>
        <w:tc>
          <w:tcPr>
            <w:tcW w:w="3334" w:type="dxa"/>
          </w:tcPr>
          <w:p w:rsidR="00884A3F" w:rsidRDefault="00EF73AA">
            <w:pPr>
              <w:pStyle w:val="TableParagraph"/>
              <w:rPr>
                <w:sz w:val="21"/>
              </w:rPr>
            </w:pPr>
            <w:r>
              <w:rPr>
                <w:color w:val="FF0000"/>
                <w:sz w:val="21"/>
              </w:rPr>
              <w:t>Renee Carter</w:t>
            </w:r>
          </w:p>
        </w:tc>
        <w:tc>
          <w:tcPr>
            <w:tcW w:w="271" w:type="dxa"/>
            <w:vMerge/>
          </w:tcPr>
          <w:p w:rsidR="00884A3F" w:rsidRDefault="00884A3F"/>
        </w:tc>
        <w:tc>
          <w:tcPr>
            <w:tcW w:w="1980" w:type="dxa"/>
          </w:tcPr>
          <w:p w:rsidR="00884A3F" w:rsidRDefault="00EF73AA">
            <w:pPr>
              <w:pStyle w:val="TableParagraph"/>
              <w:spacing w:line="240" w:lineRule="auto"/>
              <w:ind w:right="550"/>
              <w:rPr>
                <w:sz w:val="21"/>
              </w:rPr>
            </w:pPr>
            <w:r>
              <w:rPr>
                <w:sz w:val="21"/>
              </w:rPr>
              <w:t>Seton Highland Lakes</w:t>
            </w:r>
          </w:p>
        </w:tc>
        <w:tc>
          <w:tcPr>
            <w:tcW w:w="3236" w:type="dxa"/>
          </w:tcPr>
          <w:p w:rsidR="00884A3F" w:rsidRDefault="00EF73AA">
            <w:pPr>
              <w:pStyle w:val="TableParagraph"/>
              <w:rPr>
                <w:sz w:val="21"/>
              </w:rPr>
            </w:pPr>
            <w:r>
              <w:rPr>
                <w:color w:val="FF0000"/>
                <w:sz w:val="21"/>
              </w:rPr>
              <w:t>Cindy Sanchez</w:t>
            </w:r>
          </w:p>
        </w:tc>
      </w:tr>
      <w:tr w:rsidR="00884A3F">
        <w:trPr>
          <w:trHeight w:hRule="exact" w:val="629"/>
        </w:trPr>
        <w:tc>
          <w:tcPr>
            <w:tcW w:w="2067" w:type="dxa"/>
          </w:tcPr>
          <w:p w:rsidR="00884A3F" w:rsidRDefault="00EF73AA">
            <w:pPr>
              <w:pStyle w:val="TableParagraph"/>
              <w:spacing w:line="256" w:lineRule="exact"/>
              <w:rPr>
                <w:sz w:val="21"/>
              </w:rPr>
            </w:pPr>
            <w:r>
              <w:rPr>
                <w:sz w:val="21"/>
              </w:rPr>
              <w:t>Bluebonnet Trails</w:t>
            </w:r>
          </w:p>
        </w:tc>
        <w:tc>
          <w:tcPr>
            <w:tcW w:w="3334" w:type="dxa"/>
          </w:tcPr>
          <w:p w:rsidR="00884A3F" w:rsidRDefault="00EF73AA">
            <w:pPr>
              <w:pStyle w:val="TableParagraph"/>
              <w:spacing w:line="256" w:lineRule="exact"/>
              <w:rPr>
                <w:sz w:val="21"/>
              </w:rPr>
            </w:pPr>
            <w:r>
              <w:rPr>
                <w:color w:val="FF0000"/>
                <w:sz w:val="21"/>
              </w:rPr>
              <w:t xml:space="preserve">Meghan </w:t>
            </w:r>
            <w:proofErr w:type="spellStart"/>
            <w:r>
              <w:rPr>
                <w:color w:val="FF0000"/>
                <w:sz w:val="21"/>
              </w:rPr>
              <w:t>Nadolski</w:t>
            </w:r>
            <w:proofErr w:type="spellEnd"/>
            <w:r>
              <w:rPr>
                <w:color w:val="FF0000"/>
                <w:sz w:val="21"/>
              </w:rPr>
              <w:t xml:space="preserve">; Corinne </w:t>
            </w:r>
            <w:proofErr w:type="spellStart"/>
            <w:r>
              <w:rPr>
                <w:color w:val="FF0000"/>
                <w:sz w:val="21"/>
              </w:rPr>
              <w:t>Turmelle</w:t>
            </w:r>
            <w:proofErr w:type="spellEnd"/>
          </w:p>
        </w:tc>
        <w:tc>
          <w:tcPr>
            <w:tcW w:w="271" w:type="dxa"/>
            <w:vMerge/>
          </w:tcPr>
          <w:p w:rsidR="00884A3F" w:rsidRDefault="00884A3F"/>
        </w:tc>
        <w:tc>
          <w:tcPr>
            <w:tcW w:w="1980" w:type="dxa"/>
          </w:tcPr>
          <w:p w:rsidR="00884A3F" w:rsidRDefault="00EF73AA">
            <w:pPr>
              <w:pStyle w:val="TableParagraph"/>
              <w:spacing w:line="240" w:lineRule="auto"/>
              <w:ind w:right="88"/>
              <w:rPr>
                <w:sz w:val="21"/>
              </w:rPr>
            </w:pPr>
            <w:r>
              <w:rPr>
                <w:sz w:val="21"/>
              </w:rPr>
              <w:t>St. David’s Round Rock Medical Center</w:t>
            </w:r>
          </w:p>
        </w:tc>
        <w:tc>
          <w:tcPr>
            <w:tcW w:w="3236" w:type="dxa"/>
          </w:tcPr>
          <w:p w:rsidR="00884A3F" w:rsidRDefault="00884A3F"/>
        </w:tc>
      </w:tr>
      <w:tr w:rsidR="00884A3F">
        <w:trPr>
          <w:trHeight w:hRule="exact" w:val="521"/>
        </w:trPr>
        <w:tc>
          <w:tcPr>
            <w:tcW w:w="2067" w:type="dxa"/>
          </w:tcPr>
          <w:p w:rsidR="00884A3F" w:rsidRDefault="00EF73AA">
            <w:pPr>
              <w:pStyle w:val="TableParagraph"/>
              <w:spacing w:line="240" w:lineRule="auto"/>
              <w:ind w:right="101"/>
              <w:rPr>
                <w:sz w:val="21"/>
              </w:rPr>
            </w:pPr>
            <w:r>
              <w:rPr>
                <w:sz w:val="21"/>
              </w:rPr>
              <w:t>Brazos County Health District</w:t>
            </w:r>
          </w:p>
        </w:tc>
        <w:tc>
          <w:tcPr>
            <w:tcW w:w="3334" w:type="dxa"/>
          </w:tcPr>
          <w:p w:rsidR="00884A3F" w:rsidRDefault="00EF73AA">
            <w:pPr>
              <w:pStyle w:val="TableParagraph"/>
              <w:rPr>
                <w:sz w:val="21"/>
              </w:rPr>
            </w:pPr>
            <w:r>
              <w:rPr>
                <w:color w:val="FF0000"/>
                <w:sz w:val="21"/>
              </w:rPr>
              <w:t>Sara Mendez</w:t>
            </w:r>
          </w:p>
        </w:tc>
        <w:tc>
          <w:tcPr>
            <w:tcW w:w="271" w:type="dxa"/>
            <w:vMerge/>
          </w:tcPr>
          <w:p w:rsidR="00884A3F" w:rsidRDefault="00884A3F"/>
        </w:tc>
        <w:tc>
          <w:tcPr>
            <w:tcW w:w="1980" w:type="dxa"/>
          </w:tcPr>
          <w:p w:rsidR="00884A3F" w:rsidRDefault="00EF73AA">
            <w:pPr>
              <w:pStyle w:val="TableParagraph"/>
              <w:ind w:left="28" w:right="153"/>
              <w:jc w:val="center"/>
              <w:rPr>
                <w:sz w:val="21"/>
              </w:rPr>
            </w:pPr>
            <w:r>
              <w:rPr>
                <w:sz w:val="21"/>
              </w:rPr>
              <w:t>St. Joseph Regional</w:t>
            </w:r>
          </w:p>
        </w:tc>
        <w:tc>
          <w:tcPr>
            <w:tcW w:w="3236" w:type="dxa"/>
          </w:tcPr>
          <w:p w:rsidR="00884A3F" w:rsidRDefault="00EF73AA">
            <w:pPr>
              <w:pStyle w:val="TableParagraph"/>
              <w:rPr>
                <w:sz w:val="21"/>
              </w:rPr>
            </w:pPr>
            <w:r>
              <w:rPr>
                <w:color w:val="FF0000"/>
                <w:sz w:val="21"/>
              </w:rPr>
              <w:t>Martha Fuentes</w:t>
            </w:r>
          </w:p>
        </w:tc>
      </w:tr>
      <w:tr w:rsidR="00884A3F">
        <w:trPr>
          <w:trHeight w:hRule="exact" w:val="523"/>
        </w:trPr>
        <w:tc>
          <w:tcPr>
            <w:tcW w:w="2067" w:type="dxa"/>
          </w:tcPr>
          <w:p w:rsidR="00884A3F" w:rsidRDefault="00EF73AA">
            <w:pPr>
              <w:pStyle w:val="TableParagraph"/>
              <w:spacing w:line="256" w:lineRule="exact"/>
              <w:rPr>
                <w:sz w:val="21"/>
              </w:rPr>
            </w:pPr>
            <w:r>
              <w:rPr>
                <w:sz w:val="21"/>
              </w:rPr>
              <w:t>Center for Life</w:t>
            </w:r>
          </w:p>
        </w:tc>
        <w:tc>
          <w:tcPr>
            <w:tcW w:w="3334" w:type="dxa"/>
          </w:tcPr>
          <w:p w:rsidR="00884A3F" w:rsidRDefault="00EF73AA">
            <w:pPr>
              <w:pStyle w:val="TableParagraph"/>
              <w:spacing w:line="256" w:lineRule="exact"/>
              <w:rPr>
                <w:sz w:val="21"/>
              </w:rPr>
            </w:pPr>
            <w:proofErr w:type="spellStart"/>
            <w:r>
              <w:rPr>
                <w:color w:val="FF0000"/>
                <w:sz w:val="21"/>
              </w:rPr>
              <w:t>Ranita</w:t>
            </w:r>
            <w:proofErr w:type="spellEnd"/>
            <w:r>
              <w:rPr>
                <w:color w:val="FF0000"/>
                <w:sz w:val="21"/>
              </w:rPr>
              <w:t xml:space="preserve"> Oliver</w:t>
            </w:r>
          </w:p>
        </w:tc>
        <w:tc>
          <w:tcPr>
            <w:tcW w:w="271" w:type="dxa"/>
            <w:vMerge/>
          </w:tcPr>
          <w:p w:rsidR="00884A3F" w:rsidRDefault="00884A3F"/>
        </w:tc>
        <w:tc>
          <w:tcPr>
            <w:tcW w:w="1980" w:type="dxa"/>
          </w:tcPr>
          <w:p w:rsidR="00884A3F" w:rsidRDefault="00EF73AA">
            <w:pPr>
              <w:pStyle w:val="TableParagraph"/>
              <w:spacing w:line="240" w:lineRule="auto"/>
              <w:ind w:right="682"/>
              <w:rPr>
                <w:sz w:val="21"/>
              </w:rPr>
            </w:pPr>
            <w:r>
              <w:rPr>
                <w:sz w:val="21"/>
              </w:rPr>
              <w:t>St. Luke’s The Woodlands</w:t>
            </w:r>
          </w:p>
        </w:tc>
        <w:tc>
          <w:tcPr>
            <w:tcW w:w="3236" w:type="dxa"/>
          </w:tcPr>
          <w:p w:rsidR="00884A3F" w:rsidRDefault="00EF73AA">
            <w:pPr>
              <w:pStyle w:val="TableParagraph"/>
              <w:spacing w:line="256" w:lineRule="exact"/>
              <w:rPr>
                <w:sz w:val="21"/>
              </w:rPr>
            </w:pPr>
            <w:r>
              <w:rPr>
                <w:color w:val="FF0000"/>
                <w:sz w:val="21"/>
              </w:rPr>
              <w:t>Fiona Lowry</w:t>
            </w:r>
          </w:p>
        </w:tc>
      </w:tr>
      <w:tr w:rsidR="00884A3F">
        <w:trPr>
          <w:trHeight w:hRule="exact" w:val="535"/>
        </w:trPr>
        <w:tc>
          <w:tcPr>
            <w:tcW w:w="2067" w:type="dxa"/>
          </w:tcPr>
          <w:p w:rsidR="00884A3F" w:rsidRDefault="00EF73AA">
            <w:pPr>
              <w:pStyle w:val="TableParagraph"/>
              <w:spacing w:line="240" w:lineRule="auto"/>
              <w:ind w:right="519"/>
              <w:rPr>
                <w:sz w:val="21"/>
              </w:rPr>
            </w:pPr>
            <w:r>
              <w:rPr>
                <w:sz w:val="21"/>
              </w:rPr>
              <w:t>Central Counties Services</w:t>
            </w:r>
          </w:p>
        </w:tc>
        <w:tc>
          <w:tcPr>
            <w:tcW w:w="3334" w:type="dxa"/>
          </w:tcPr>
          <w:p w:rsidR="00884A3F" w:rsidRDefault="00EF73AA">
            <w:pPr>
              <w:pStyle w:val="TableParagraph"/>
              <w:rPr>
                <w:sz w:val="21"/>
              </w:rPr>
            </w:pPr>
            <w:r>
              <w:rPr>
                <w:color w:val="FF0000"/>
                <w:sz w:val="21"/>
              </w:rPr>
              <w:t>Nicole Williams</w:t>
            </w:r>
          </w:p>
        </w:tc>
        <w:tc>
          <w:tcPr>
            <w:tcW w:w="271" w:type="dxa"/>
            <w:vMerge/>
          </w:tcPr>
          <w:p w:rsidR="00884A3F" w:rsidRDefault="00884A3F"/>
        </w:tc>
        <w:tc>
          <w:tcPr>
            <w:tcW w:w="1980" w:type="dxa"/>
          </w:tcPr>
          <w:p w:rsidR="00884A3F" w:rsidRDefault="00EF73AA">
            <w:pPr>
              <w:pStyle w:val="TableParagraph"/>
              <w:spacing w:line="240" w:lineRule="auto"/>
              <w:ind w:right="875"/>
              <w:rPr>
                <w:sz w:val="21"/>
              </w:rPr>
            </w:pPr>
            <w:r>
              <w:rPr>
                <w:sz w:val="21"/>
              </w:rPr>
              <w:t>Texas A&amp;M Physicians</w:t>
            </w:r>
          </w:p>
        </w:tc>
        <w:tc>
          <w:tcPr>
            <w:tcW w:w="3236" w:type="dxa"/>
          </w:tcPr>
          <w:p w:rsidR="00884A3F" w:rsidRDefault="00EF73AA">
            <w:pPr>
              <w:pStyle w:val="TableParagraph"/>
              <w:rPr>
                <w:sz w:val="21"/>
              </w:rPr>
            </w:pPr>
            <w:r>
              <w:rPr>
                <w:color w:val="FF0000"/>
                <w:sz w:val="21"/>
              </w:rPr>
              <w:t>Leigh Rhodes; Carly McCord;</w:t>
            </w:r>
          </w:p>
          <w:p w:rsidR="00884A3F" w:rsidRDefault="00EF73AA">
            <w:pPr>
              <w:pStyle w:val="TableParagraph"/>
              <w:spacing w:line="240" w:lineRule="auto"/>
            </w:pPr>
            <w:r>
              <w:rPr>
                <w:color w:val="FF0000"/>
              </w:rPr>
              <w:t xml:space="preserve">Kevin </w:t>
            </w:r>
            <w:proofErr w:type="spellStart"/>
            <w:r>
              <w:rPr>
                <w:color w:val="FF0000"/>
              </w:rPr>
              <w:t>Tarlow</w:t>
            </w:r>
            <w:proofErr w:type="spellEnd"/>
          </w:p>
        </w:tc>
      </w:tr>
      <w:tr w:rsidR="00884A3F">
        <w:trPr>
          <w:trHeight w:hRule="exact" w:val="780"/>
        </w:trPr>
        <w:tc>
          <w:tcPr>
            <w:tcW w:w="2067" w:type="dxa"/>
          </w:tcPr>
          <w:p w:rsidR="00884A3F" w:rsidRDefault="00EF73AA">
            <w:pPr>
              <w:pStyle w:val="TableParagraph"/>
              <w:spacing w:line="240" w:lineRule="auto"/>
              <w:ind w:right="156"/>
              <w:rPr>
                <w:sz w:val="21"/>
              </w:rPr>
            </w:pPr>
            <w:r>
              <w:rPr>
                <w:sz w:val="21"/>
              </w:rPr>
              <w:t>College Station Medical Center/ Washington Co. EMS</w:t>
            </w:r>
          </w:p>
        </w:tc>
        <w:tc>
          <w:tcPr>
            <w:tcW w:w="3334" w:type="dxa"/>
          </w:tcPr>
          <w:p w:rsidR="00884A3F" w:rsidRDefault="00EF73AA">
            <w:pPr>
              <w:pStyle w:val="TableParagraph"/>
              <w:rPr>
                <w:sz w:val="21"/>
              </w:rPr>
            </w:pPr>
            <w:r>
              <w:rPr>
                <w:color w:val="FF0000"/>
                <w:sz w:val="21"/>
              </w:rPr>
              <w:t xml:space="preserve">Sherri Welch; Kaitlyn </w:t>
            </w:r>
            <w:proofErr w:type="spellStart"/>
            <w:r>
              <w:rPr>
                <w:color w:val="FF0000"/>
                <w:sz w:val="21"/>
              </w:rPr>
              <w:t>Merrow</w:t>
            </w:r>
            <w:proofErr w:type="spellEnd"/>
          </w:p>
        </w:tc>
        <w:tc>
          <w:tcPr>
            <w:tcW w:w="271" w:type="dxa"/>
            <w:vMerge/>
          </w:tcPr>
          <w:p w:rsidR="00884A3F" w:rsidRDefault="00884A3F"/>
        </w:tc>
        <w:tc>
          <w:tcPr>
            <w:tcW w:w="1980" w:type="dxa"/>
          </w:tcPr>
          <w:p w:rsidR="00884A3F" w:rsidRDefault="00EF73AA">
            <w:pPr>
              <w:pStyle w:val="TableParagraph"/>
              <w:spacing w:line="240" w:lineRule="auto"/>
              <w:ind w:right="932"/>
              <w:jc w:val="both"/>
              <w:rPr>
                <w:sz w:val="21"/>
              </w:rPr>
            </w:pPr>
            <w:r>
              <w:rPr>
                <w:sz w:val="21"/>
              </w:rPr>
              <w:t>Tri-County Behavioral Healthcare</w:t>
            </w:r>
          </w:p>
        </w:tc>
        <w:tc>
          <w:tcPr>
            <w:tcW w:w="3236" w:type="dxa"/>
          </w:tcPr>
          <w:p w:rsidR="00884A3F" w:rsidRDefault="00EF73AA">
            <w:pPr>
              <w:pStyle w:val="TableParagraph"/>
              <w:rPr>
                <w:sz w:val="21"/>
              </w:rPr>
            </w:pPr>
            <w:r>
              <w:rPr>
                <w:color w:val="FF0000"/>
                <w:sz w:val="21"/>
              </w:rPr>
              <w:t>Cynthia Peterson</w:t>
            </w:r>
          </w:p>
        </w:tc>
      </w:tr>
      <w:tr w:rsidR="00884A3F">
        <w:trPr>
          <w:trHeight w:hRule="exact" w:val="778"/>
        </w:trPr>
        <w:tc>
          <w:tcPr>
            <w:tcW w:w="2067" w:type="dxa"/>
          </w:tcPr>
          <w:p w:rsidR="00884A3F" w:rsidRDefault="00EF73AA">
            <w:pPr>
              <w:pStyle w:val="TableParagraph"/>
              <w:spacing w:line="240" w:lineRule="auto"/>
              <w:rPr>
                <w:sz w:val="21"/>
              </w:rPr>
            </w:pPr>
            <w:r>
              <w:rPr>
                <w:sz w:val="21"/>
              </w:rPr>
              <w:t>Conroe Regional Medical Center &amp; Kingwood</w:t>
            </w:r>
          </w:p>
        </w:tc>
        <w:tc>
          <w:tcPr>
            <w:tcW w:w="3334" w:type="dxa"/>
          </w:tcPr>
          <w:p w:rsidR="00884A3F" w:rsidRDefault="00EF73AA">
            <w:pPr>
              <w:pStyle w:val="TableParagraph"/>
              <w:rPr>
                <w:sz w:val="21"/>
              </w:rPr>
            </w:pPr>
            <w:r>
              <w:rPr>
                <w:color w:val="FF0000"/>
                <w:sz w:val="21"/>
              </w:rPr>
              <w:t>Shannon Evans</w:t>
            </w:r>
          </w:p>
        </w:tc>
        <w:tc>
          <w:tcPr>
            <w:tcW w:w="271" w:type="dxa"/>
            <w:vMerge/>
          </w:tcPr>
          <w:p w:rsidR="00884A3F" w:rsidRDefault="00884A3F"/>
        </w:tc>
        <w:tc>
          <w:tcPr>
            <w:tcW w:w="1980" w:type="dxa"/>
          </w:tcPr>
          <w:p w:rsidR="00884A3F" w:rsidRDefault="00EF73AA">
            <w:pPr>
              <w:pStyle w:val="TableParagraph"/>
              <w:spacing w:line="240" w:lineRule="auto"/>
              <w:ind w:right="240"/>
              <w:rPr>
                <w:sz w:val="21"/>
              </w:rPr>
            </w:pPr>
            <w:r>
              <w:rPr>
                <w:sz w:val="21"/>
              </w:rPr>
              <w:t>Williamson County and Cities Health District</w:t>
            </w:r>
          </w:p>
        </w:tc>
        <w:tc>
          <w:tcPr>
            <w:tcW w:w="3236" w:type="dxa"/>
          </w:tcPr>
          <w:p w:rsidR="00884A3F" w:rsidRDefault="00EF73AA">
            <w:pPr>
              <w:pStyle w:val="TableParagraph"/>
              <w:rPr>
                <w:sz w:val="21"/>
              </w:rPr>
            </w:pPr>
            <w:r>
              <w:rPr>
                <w:color w:val="FF0000"/>
                <w:sz w:val="21"/>
              </w:rPr>
              <w:t>Matt Richardson</w:t>
            </w:r>
          </w:p>
        </w:tc>
      </w:tr>
      <w:tr w:rsidR="00884A3F">
        <w:trPr>
          <w:trHeight w:hRule="exact" w:val="523"/>
        </w:trPr>
        <w:tc>
          <w:tcPr>
            <w:tcW w:w="2067" w:type="dxa"/>
          </w:tcPr>
          <w:p w:rsidR="00884A3F" w:rsidRDefault="00EF73AA">
            <w:pPr>
              <w:pStyle w:val="TableParagraph"/>
              <w:rPr>
                <w:sz w:val="21"/>
              </w:rPr>
            </w:pPr>
            <w:r>
              <w:rPr>
                <w:sz w:val="21"/>
              </w:rPr>
              <w:t>Health for All</w:t>
            </w:r>
          </w:p>
        </w:tc>
        <w:tc>
          <w:tcPr>
            <w:tcW w:w="3334" w:type="dxa"/>
          </w:tcPr>
          <w:p w:rsidR="00884A3F" w:rsidRDefault="00EF73AA">
            <w:pPr>
              <w:pStyle w:val="TableParagraph"/>
              <w:rPr>
                <w:sz w:val="21"/>
              </w:rPr>
            </w:pPr>
            <w:r>
              <w:rPr>
                <w:color w:val="FF0000"/>
                <w:sz w:val="21"/>
              </w:rPr>
              <w:t>Liz Dickey</w:t>
            </w:r>
          </w:p>
        </w:tc>
        <w:tc>
          <w:tcPr>
            <w:tcW w:w="271" w:type="dxa"/>
            <w:vMerge/>
          </w:tcPr>
          <w:p w:rsidR="00884A3F" w:rsidRDefault="00884A3F"/>
        </w:tc>
        <w:tc>
          <w:tcPr>
            <w:tcW w:w="1980" w:type="dxa"/>
          </w:tcPr>
          <w:p w:rsidR="00884A3F" w:rsidRDefault="00EF73AA">
            <w:pPr>
              <w:pStyle w:val="TableParagraph"/>
              <w:ind w:left="85" w:right="153"/>
              <w:jc w:val="center"/>
              <w:rPr>
                <w:sz w:val="21"/>
              </w:rPr>
            </w:pPr>
            <w:r>
              <w:rPr>
                <w:sz w:val="21"/>
              </w:rPr>
              <w:t>RHP 8 Anchor Team</w:t>
            </w:r>
          </w:p>
        </w:tc>
        <w:tc>
          <w:tcPr>
            <w:tcW w:w="3236" w:type="dxa"/>
          </w:tcPr>
          <w:p w:rsidR="00884A3F" w:rsidRDefault="00EF73AA">
            <w:pPr>
              <w:pStyle w:val="TableParagraph"/>
              <w:rPr>
                <w:sz w:val="21"/>
              </w:rPr>
            </w:pPr>
            <w:r>
              <w:rPr>
                <w:color w:val="FF0000"/>
                <w:sz w:val="21"/>
              </w:rPr>
              <w:t xml:space="preserve">Jennifer </w:t>
            </w:r>
            <w:proofErr w:type="spellStart"/>
            <w:r>
              <w:rPr>
                <w:color w:val="FF0000"/>
                <w:sz w:val="21"/>
              </w:rPr>
              <w:t>LoGalbo</w:t>
            </w:r>
            <w:proofErr w:type="spellEnd"/>
            <w:r>
              <w:rPr>
                <w:color w:val="FF0000"/>
                <w:sz w:val="21"/>
              </w:rPr>
              <w:t>; Shawna Jiles</w:t>
            </w:r>
          </w:p>
        </w:tc>
      </w:tr>
      <w:tr w:rsidR="00884A3F">
        <w:trPr>
          <w:trHeight w:hRule="exact" w:val="523"/>
        </w:trPr>
        <w:tc>
          <w:tcPr>
            <w:tcW w:w="2067" w:type="dxa"/>
          </w:tcPr>
          <w:p w:rsidR="00884A3F" w:rsidRDefault="00EF73AA">
            <w:pPr>
              <w:pStyle w:val="TableParagraph"/>
              <w:rPr>
                <w:sz w:val="21"/>
              </w:rPr>
            </w:pPr>
            <w:r>
              <w:rPr>
                <w:sz w:val="21"/>
              </w:rPr>
              <w:t>Hill Country MHMR</w:t>
            </w:r>
          </w:p>
        </w:tc>
        <w:tc>
          <w:tcPr>
            <w:tcW w:w="3334" w:type="dxa"/>
          </w:tcPr>
          <w:p w:rsidR="00884A3F" w:rsidRDefault="00EF73AA">
            <w:pPr>
              <w:pStyle w:val="TableParagraph"/>
              <w:rPr>
                <w:sz w:val="21"/>
              </w:rPr>
            </w:pPr>
            <w:r>
              <w:rPr>
                <w:color w:val="FF0000"/>
                <w:sz w:val="21"/>
              </w:rPr>
              <w:t>Kristie Jacoby</w:t>
            </w:r>
          </w:p>
        </w:tc>
        <w:tc>
          <w:tcPr>
            <w:tcW w:w="271" w:type="dxa"/>
            <w:vMerge/>
          </w:tcPr>
          <w:p w:rsidR="00884A3F" w:rsidRDefault="00884A3F"/>
        </w:tc>
        <w:tc>
          <w:tcPr>
            <w:tcW w:w="1980" w:type="dxa"/>
          </w:tcPr>
          <w:p w:rsidR="00884A3F" w:rsidRDefault="00EF73AA">
            <w:pPr>
              <w:pStyle w:val="TableParagraph"/>
              <w:spacing w:line="240" w:lineRule="auto"/>
              <w:ind w:right="571"/>
              <w:rPr>
                <w:sz w:val="21"/>
              </w:rPr>
            </w:pPr>
            <w:r>
              <w:rPr>
                <w:sz w:val="21"/>
              </w:rPr>
              <w:t>RHP 17 Anchor Team</w:t>
            </w:r>
          </w:p>
        </w:tc>
        <w:tc>
          <w:tcPr>
            <w:tcW w:w="3236" w:type="dxa"/>
          </w:tcPr>
          <w:p w:rsidR="00884A3F" w:rsidRDefault="00EF73AA">
            <w:pPr>
              <w:pStyle w:val="TableParagraph"/>
              <w:rPr>
                <w:sz w:val="21"/>
              </w:rPr>
            </w:pPr>
            <w:r>
              <w:rPr>
                <w:color w:val="FF0000"/>
                <w:sz w:val="21"/>
              </w:rPr>
              <w:t>Shayna Spurlin</w:t>
            </w:r>
          </w:p>
        </w:tc>
      </w:tr>
      <w:tr w:rsidR="00884A3F">
        <w:trPr>
          <w:trHeight w:hRule="exact" w:val="523"/>
        </w:trPr>
        <w:tc>
          <w:tcPr>
            <w:tcW w:w="2067" w:type="dxa"/>
          </w:tcPr>
          <w:p w:rsidR="00884A3F" w:rsidRDefault="00EF73AA">
            <w:pPr>
              <w:pStyle w:val="TableParagraph"/>
              <w:spacing w:line="240" w:lineRule="auto"/>
              <w:ind w:right="206"/>
              <w:rPr>
                <w:sz w:val="21"/>
              </w:rPr>
            </w:pPr>
            <w:r>
              <w:rPr>
                <w:sz w:val="21"/>
              </w:rPr>
              <w:t>Huntsville Memorial Hospital</w:t>
            </w:r>
          </w:p>
        </w:tc>
        <w:tc>
          <w:tcPr>
            <w:tcW w:w="3334" w:type="dxa"/>
          </w:tcPr>
          <w:p w:rsidR="00884A3F" w:rsidRDefault="00EF73AA">
            <w:pPr>
              <w:pStyle w:val="TableParagraph"/>
              <w:spacing w:line="265" w:lineRule="exact"/>
            </w:pPr>
            <w:r>
              <w:rPr>
                <w:color w:val="FF0000"/>
                <w:sz w:val="21"/>
              </w:rPr>
              <w:t>Lisa Prochaska</w:t>
            </w:r>
            <w:r>
              <w:rPr>
                <w:color w:val="FF0000"/>
              </w:rPr>
              <w:t>; Lisa Warner</w:t>
            </w:r>
          </w:p>
        </w:tc>
        <w:tc>
          <w:tcPr>
            <w:tcW w:w="271" w:type="dxa"/>
            <w:vMerge/>
          </w:tcPr>
          <w:p w:rsidR="00884A3F" w:rsidRDefault="00884A3F"/>
        </w:tc>
        <w:tc>
          <w:tcPr>
            <w:tcW w:w="1980" w:type="dxa"/>
          </w:tcPr>
          <w:p w:rsidR="00884A3F" w:rsidRDefault="00EF73AA">
            <w:pPr>
              <w:pStyle w:val="TableParagraph"/>
              <w:ind w:left="45" w:right="153"/>
              <w:jc w:val="center"/>
              <w:rPr>
                <w:sz w:val="21"/>
              </w:rPr>
            </w:pPr>
            <w:r>
              <w:rPr>
                <w:sz w:val="21"/>
              </w:rPr>
              <w:t>Other Stakeholders</w:t>
            </w:r>
          </w:p>
        </w:tc>
        <w:tc>
          <w:tcPr>
            <w:tcW w:w="3236" w:type="dxa"/>
          </w:tcPr>
          <w:p w:rsidR="00884A3F" w:rsidRDefault="00EF73AA">
            <w:pPr>
              <w:pStyle w:val="TableParagraph"/>
              <w:rPr>
                <w:sz w:val="21"/>
              </w:rPr>
            </w:pPr>
            <w:r>
              <w:rPr>
                <w:color w:val="FF0000"/>
                <w:sz w:val="21"/>
              </w:rPr>
              <w:t xml:space="preserve">Michelle </w:t>
            </w:r>
            <w:proofErr w:type="spellStart"/>
            <w:r>
              <w:rPr>
                <w:color w:val="FF0000"/>
                <w:sz w:val="21"/>
              </w:rPr>
              <w:t>Sevilla</w:t>
            </w:r>
            <w:proofErr w:type="spellEnd"/>
            <w:r>
              <w:rPr>
                <w:color w:val="FF0000"/>
                <w:sz w:val="21"/>
              </w:rPr>
              <w:t xml:space="preserve">; Pauline </w:t>
            </w:r>
            <w:proofErr w:type="spellStart"/>
            <w:r>
              <w:rPr>
                <w:color w:val="FF0000"/>
                <w:sz w:val="21"/>
              </w:rPr>
              <w:t>VanMeurs</w:t>
            </w:r>
            <w:proofErr w:type="spellEnd"/>
          </w:p>
          <w:p w:rsidR="00884A3F" w:rsidRDefault="00EF73AA">
            <w:pPr>
              <w:pStyle w:val="TableParagraph"/>
              <w:spacing w:line="240" w:lineRule="auto"/>
              <w:rPr>
                <w:sz w:val="21"/>
              </w:rPr>
            </w:pPr>
            <w:r>
              <w:rPr>
                <w:color w:val="FF0000"/>
                <w:sz w:val="21"/>
              </w:rPr>
              <w:t>– Williamson County EMS</w:t>
            </w:r>
          </w:p>
        </w:tc>
      </w:tr>
      <w:tr w:rsidR="00884A3F">
        <w:trPr>
          <w:trHeight w:hRule="exact" w:val="523"/>
        </w:trPr>
        <w:tc>
          <w:tcPr>
            <w:tcW w:w="2067" w:type="dxa"/>
          </w:tcPr>
          <w:p w:rsidR="00884A3F" w:rsidRDefault="00EF73AA">
            <w:pPr>
              <w:pStyle w:val="TableParagraph"/>
              <w:spacing w:line="240" w:lineRule="auto"/>
              <w:ind w:right="1002"/>
              <w:rPr>
                <w:sz w:val="21"/>
              </w:rPr>
            </w:pPr>
            <w:r>
              <w:rPr>
                <w:sz w:val="21"/>
              </w:rPr>
              <w:t>Little River Healthcare</w:t>
            </w:r>
          </w:p>
        </w:tc>
        <w:tc>
          <w:tcPr>
            <w:tcW w:w="3334" w:type="dxa"/>
          </w:tcPr>
          <w:p w:rsidR="00884A3F" w:rsidRDefault="00EF73AA">
            <w:pPr>
              <w:pStyle w:val="TableParagraph"/>
              <w:rPr>
                <w:sz w:val="21"/>
              </w:rPr>
            </w:pPr>
            <w:r>
              <w:rPr>
                <w:color w:val="FF0000"/>
                <w:sz w:val="21"/>
              </w:rPr>
              <w:t xml:space="preserve">George </w:t>
            </w:r>
            <w:proofErr w:type="spellStart"/>
            <w:r>
              <w:rPr>
                <w:color w:val="FF0000"/>
                <w:sz w:val="21"/>
              </w:rPr>
              <w:t>DeReese</w:t>
            </w:r>
            <w:proofErr w:type="spellEnd"/>
          </w:p>
        </w:tc>
        <w:tc>
          <w:tcPr>
            <w:tcW w:w="271" w:type="dxa"/>
            <w:vMerge/>
          </w:tcPr>
          <w:p w:rsidR="00884A3F" w:rsidRDefault="00884A3F"/>
        </w:tc>
        <w:tc>
          <w:tcPr>
            <w:tcW w:w="1980" w:type="dxa"/>
          </w:tcPr>
          <w:p w:rsidR="00884A3F" w:rsidRDefault="00884A3F"/>
        </w:tc>
        <w:tc>
          <w:tcPr>
            <w:tcW w:w="3236" w:type="dxa"/>
          </w:tcPr>
          <w:p w:rsidR="00884A3F" w:rsidRDefault="00884A3F"/>
        </w:tc>
      </w:tr>
    </w:tbl>
    <w:p w:rsidR="00884A3F" w:rsidRDefault="00884A3F">
      <w:pPr>
        <w:sectPr w:rsidR="00884A3F">
          <w:type w:val="continuous"/>
          <w:pgSz w:w="12240" w:h="15840"/>
          <w:pgMar w:top="720" w:right="560" w:bottom="280" w:left="380" w:header="720" w:footer="720" w:gutter="0"/>
          <w:cols w:space="720"/>
        </w:sectPr>
      </w:pPr>
    </w:p>
    <w:p w:rsidR="00884A3F" w:rsidRDefault="00EF73AA">
      <w:pPr>
        <w:ind w:left="4400" w:right="3684"/>
        <w:jc w:val="center"/>
        <w:rPr>
          <w:b/>
          <w:sz w:val="36"/>
        </w:rPr>
      </w:pPr>
      <w:r>
        <w:rPr>
          <w:b/>
          <w:sz w:val="36"/>
        </w:rPr>
        <w:lastRenderedPageBreak/>
        <w:t>MEETING MINUTES</w:t>
      </w:r>
    </w:p>
    <w:p w:rsidR="00884A3F" w:rsidRDefault="00884A3F">
      <w:pPr>
        <w:pStyle w:val="BodyText"/>
        <w:spacing w:before="4"/>
        <w:ind w:left="0" w:firstLine="0"/>
        <w:rPr>
          <w:b/>
          <w:sz w:val="30"/>
        </w:rPr>
      </w:pPr>
    </w:p>
    <w:p w:rsidR="00884A3F" w:rsidRDefault="00EF73AA">
      <w:pPr>
        <w:pStyle w:val="Heading2"/>
        <w:numPr>
          <w:ilvl w:val="0"/>
          <w:numId w:val="1"/>
        </w:numPr>
        <w:tabs>
          <w:tab w:val="left" w:pos="640"/>
          <w:tab w:val="left" w:pos="641"/>
        </w:tabs>
        <w:ind w:hanging="540"/>
      </w:pPr>
      <w:r>
        <w:t>Welcome and Introductions/Roll</w:t>
      </w:r>
      <w:r>
        <w:rPr>
          <w:spacing w:val="-14"/>
        </w:rPr>
        <w:t xml:space="preserve"> </w:t>
      </w:r>
      <w:r>
        <w:t>Call</w:t>
      </w:r>
    </w:p>
    <w:p w:rsidR="00884A3F" w:rsidRDefault="00EF73AA">
      <w:pPr>
        <w:pStyle w:val="ListParagraph"/>
        <w:numPr>
          <w:ilvl w:val="0"/>
          <w:numId w:val="1"/>
        </w:numPr>
        <w:tabs>
          <w:tab w:val="left" w:pos="640"/>
          <w:tab w:val="left" w:pos="641"/>
        </w:tabs>
        <w:ind w:hanging="540"/>
        <w:rPr>
          <w:b/>
        </w:rPr>
      </w:pPr>
      <w:r>
        <w:rPr>
          <w:b/>
        </w:rPr>
        <w:t>Raise Performance – Focus Area and Open</w:t>
      </w:r>
      <w:r>
        <w:rPr>
          <w:b/>
          <w:spacing w:val="-16"/>
        </w:rPr>
        <w:t xml:space="preserve"> </w:t>
      </w:r>
      <w:r>
        <w:rPr>
          <w:b/>
        </w:rPr>
        <w:t>Discussion</w:t>
      </w:r>
    </w:p>
    <w:p w:rsidR="00884A3F" w:rsidRDefault="00EF73AA">
      <w:pPr>
        <w:pStyle w:val="ListParagraph"/>
        <w:numPr>
          <w:ilvl w:val="1"/>
          <w:numId w:val="1"/>
        </w:numPr>
        <w:tabs>
          <w:tab w:val="left" w:pos="912"/>
        </w:tabs>
        <w:ind w:hanging="271"/>
      </w:pPr>
      <w:r>
        <w:rPr>
          <w:b/>
          <w:color w:val="1F487C"/>
        </w:rPr>
        <w:t xml:space="preserve">October Spotlight: </w:t>
      </w:r>
      <w:r>
        <w:t>Review of DY6 October Reporting Requirements and Considerations for DY7-8</w:t>
      </w:r>
      <w:r>
        <w:rPr>
          <w:spacing w:val="-33"/>
        </w:rPr>
        <w:t xml:space="preserve"> </w:t>
      </w:r>
      <w:r>
        <w:t>Transition.</w:t>
      </w:r>
    </w:p>
    <w:p w:rsidR="00884A3F" w:rsidRDefault="00EF73AA">
      <w:pPr>
        <w:pStyle w:val="Heading2"/>
        <w:numPr>
          <w:ilvl w:val="2"/>
          <w:numId w:val="1"/>
        </w:numPr>
        <w:tabs>
          <w:tab w:val="left" w:pos="1181"/>
        </w:tabs>
      </w:pPr>
      <w:r>
        <w:t>SAR</w:t>
      </w:r>
      <w:r>
        <w:rPr>
          <w:spacing w:val="-4"/>
        </w:rPr>
        <w:t xml:space="preserve"> </w:t>
      </w:r>
      <w:r>
        <w:t>Requirements:</w:t>
      </w:r>
    </w:p>
    <w:p w:rsidR="00884A3F" w:rsidRDefault="00EF73AA">
      <w:pPr>
        <w:pStyle w:val="ListParagraph"/>
        <w:numPr>
          <w:ilvl w:val="3"/>
          <w:numId w:val="1"/>
        </w:numPr>
        <w:tabs>
          <w:tab w:val="left" w:pos="1811"/>
          <w:tab w:val="left" w:pos="1812"/>
        </w:tabs>
      </w:pPr>
      <w:r>
        <w:t>Overall Provider</w:t>
      </w:r>
      <w:r>
        <w:rPr>
          <w:spacing w:val="-9"/>
        </w:rPr>
        <w:t xml:space="preserve"> </w:t>
      </w:r>
      <w:r>
        <w:t>Summary</w:t>
      </w:r>
    </w:p>
    <w:p w:rsidR="00884A3F" w:rsidRDefault="00EF73AA">
      <w:pPr>
        <w:pStyle w:val="ListParagraph"/>
        <w:numPr>
          <w:ilvl w:val="4"/>
          <w:numId w:val="1"/>
        </w:numPr>
        <w:tabs>
          <w:tab w:val="left" w:pos="2260"/>
          <w:tab w:val="left" w:pos="2261"/>
        </w:tabs>
        <w:ind w:right="118"/>
      </w:pPr>
      <w:r>
        <w:t>DY7-8 consideration – this could be an opportunity to document if you plan on taking a different approach in DY7-8 than you were in</w:t>
      </w:r>
      <w:r>
        <w:rPr>
          <w:spacing w:val="-13"/>
        </w:rPr>
        <w:t xml:space="preserve"> </w:t>
      </w:r>
      <w:r>
        <w:t>DY2-6</w:t>
      </w:r>
    </w:p>
    <w:p w:rsidR="00884A3F" w:rsidRDefault="00EF73AA">
      <w:pPr>
        <w:pStyle w:val="Heading2"/>
        <w:numPr>
          <w:ilvl w:val="3"/>
          <w:numId w:val="1"/>
        </w:numPr>
        <w:tabs>
          <w:tab w:val="left" w:pos="1811"/>
          <w:tab w:val="left" w:pos="1812"/>
        </w:tabs>
        <w:spacing w:line="278" w:lineRule="exact"/>
      </w:pPr>
      <w:r>
        <w:t>DY5 Carry-forward</w:t>
      </w:r>
      <w:r>
        <w:rPr>
          <w:spacing w:val="-13"/>
        </w:rPr>
        <w:t xml:space="preserve"> </w:t>
      </w:r>
      <w:r>
        <w:t>metrics:</w:t>
      </w:r>
    </w:p>
    <w:p w:rsidR="00884A3F" w:rsidRDefault="00EF73AA">
      <w:pPr>
        <w:pStyle w:val="ListParagraph"/>
        <w:numPr>
          <w:ilvl w:val="4"/>
          <w:numId w:val="1"/>
        </w:numPr>
        <w:tabs>
          <w:tab w:val="left" w:pos="2260"/>
          <w:tab w:val="left" w:pos="2261"/>
        </w:tabs>
      </w:pPr>
      <w:r>
        <w:t>For activities between 10/01/2015 –</w:t>
      </w:r>
      <w:r>
        <w:rPr>
          <w:spacing w:val="-17"/>
        </w:rPr>
        <w:t xml:space="preserve"> </w:t>
      </w:r>
      <w:r>
        <w:t>9/30/2017</w:t>
      </w:r>
    </w:p>
    <w:p w:rsidR="00884A3F" w:rsidRDefault="00EF73AA">
      <w:pPr>
        <w:pStyle w:val="ListParagraph"/>
        <w:numPr>
          <w:ilvl w:val="4"/>
          <w:numId w:val="1"/>
        </w:numPr>
        <w:tabs>
          <w:tab w:val="left" w:pos="2260"/>
          <w:tab w:val="left" w:pos="2261"/>
        </w:tabs>
      </w:pPr>
      <w:r>
        <w:t>Last chance to report DY5</w:t>
      </w:r>
      <w:r>
        <w:rPr>
          <w:spacing w:val="-10"/>
        </w:rPr>
        <w:t xml:space="preserve"> </w:t>
      </w:r>
      <w:r>
        <w:t>carry-forward</w:t>
      </w:r>
    </w:p>
    <w:p w:rsidR="00884A3F" w:rsidRDefault="00EF73AA">
      <w:pPr>
        <w:pStyle w:val="ListParagraph"/>
        <w:numPr>
          <w:ilvl w:val="4"/>
          <w:numId w:val="1"/>
        </w:numPr>
        <w:tabs>
          <w:tab w:val="left" w:pos="2260"/>
          <w:tab w:val="left" w:pos="2261"/>
        </w:tabs>
      </w:pPr>
      <w:r>
        <w:t>DY5 Q</w:t>
      </w:r>
      <w:r>
        <w:t>PI carry-forward reported in QPI</w:t>
      </w:r>
      <w:r>
        <w:rPr>
          <w:spacing w:val="-12"/>
        </w:rPr>
        <w:t xml:space="preserve"> </w:t>
      </w:r>
      <w:r>
        <w:t>template</w:t>
      </w:r>
    </w:p>
    <w:p w:rsidR="00884A3F" w:rsidRDefault="00EF73AA">
      <w:pPr>
        <w:pStyle w:val="ListParagraph"/>
        <w:numPr>
          <w:ilvl w:val="4"/>
          <w:numId w:val="1"/>
        </w:numPr>
        <w:tabs>
          <w:tab w:val="left" w:pos="2260"/>
          <w:tab w:val="left" w:pos="2261"/>
        </w:tabs>
      </w:pPr>
      <w:r>
        <w:t>DY5 Cat 3 carry-forward reported in Cat 3</w:t>
      </w:r>
      <w:r>
        <w:rPr>
          <w:spacing w:val="-13"/>
        </w:rPr>
        <w:t xml:space="preserve"> </w:t>
      </w:r>
      <w:r>
        <w:t>template</w:t>
      </w:r>
    </w:p>
    <w:p w:rsidR="00884A3F" w:rsidRDefault="00EF73AA">
      <w:pPr>
        <w:pStyle w:val="Heading2"/>
        <w:numPr>
          <w:ilvl w:val="3"/>
          <w:numId w:val="1"/>
        </w:numPr>
        <w:tabs>
          <w:tab w:val="left" w:pos="1811"/>
          <w:tab w:val="left" w:pos="1812"/>
        </w:tabs>
      </w:pPr>
      <w:r>
        <w:t>DY6</w:t>
      </w:r>
      <w:r>
        <w:rPr>
          <w:spacing w:val="-5"/>
        </w:rPr>
        <w:t xml:space="preserve"> </w:t>
      </w:r>
      <w:r>
        <w:t>Milestones:</w:t>
      </w:r>
    </w:p>
    <w:p w:rsidR="00884A3F" w:rsidRDefault="00EF73AA">
      <w:pPr>
        <w:pStyle w:val="ListParagraph"/>
        <w:numPr>
          <w:ilvl w:val="4"/>
          <w:numId w:val="1"/>
        </w:numPr>
        <w:tabs>
          <w:tab w:val="left" w:pos="2260"/>
          <w:tab w:val="left" w:pos="2261"/>
        </w:tabs>
        <w:spacing w:line="267" w:lineRule="exact"/>
      </w:pPr>
      <w:r>
        <w:t>M-1:</w:t>
      </w:r>
      <w:r>
        <w:rPr>
          <w:spacing w:val="-3"/>
        </w:rPr>
        <w:t xml:space="preserve"> </w:t>
      </w:r>
      <w:r>
        <w:t>QPI</w:t>
      </w:r>
    </w:p>
    <w:p w:rsidR="00884A3F" w:rsidRDefault="00EF73AA">
      <w:pPr>
        <w:pStyle w:val="ListParagraph"/>
        <w:numPr>
          <w:ilvl w:val="5"/>
          <w:numId w:val="1"/>
        </w:numPr>
        <w:tabs>
          <w:tab w:val="left" w:pos="2712"/>
        </w:tabs>
        <w:spacing w:line="271" w:lineRule="exact"/>
      </w:pPr>
      <w:r>
        <w:t>Providers must complete October DY6 QPI</w:t>
      </w:r>
      <w:r>
        <w:rPr>
          <w:spacing w:val="-18"/>
        </w:rPr>
        <w:t xml:space="preserve"> </w:t>
      </w:r>
      <w:r>
        <w:t>template</w:t>
      </w:r>
    </w:p>
    <w:p w:rsidR="00884A3F" w:rsidRDefault="00EF73AA">
      <w:pPr>
        <w:pStyle w:val="ListParagraph"/>
        <w:numPr>
          <w:ilvl w:val="5"/>
          <w:numId w:val="1"/>
        </w:numPr>
        <w:tabs>
          <w:tab w:val="left" w:pos="2712"/>
        </w:tabs>
        <w:spacing w:line="269" w:lineRule="exact"/>
      </w:pPr>
      <w:r>
        <w:t>Activities must have occurred between 10/01/2016 –</w:t>
      </w:r>
      <w:r>
        <w:rPr>
          <w:spacing w:val="-25"/>
        </w:rPr>
        <w:t xml:space="preserve"> </w:t>
      </w:r>
      <w:r>
        <w:t>9/30/2017</w:t>
      </w:r>
    </w:p>
    <w:p w:rsidR="00884A3F" w:rsidRDefault="00EF73AA">
      <w:pPr>
        <w:pStyle w:val="ListParagraph"/>
        <w:numPr>
          <w:ilvl w:val="4"/>
          <w:numId w:val="1"/>
        </w:numPr>
        <w:tabs>
          <w:tab w:val="left" w:pos="2260"/>
          <w:tab w:val="left" w:pos="2261"/>
        </w:tabs>
        <w:spacing w:line="265" w:lineRule="exact"/>
      </w:pPr>
      <w:r>
        <w:t>M-2: MLIU</w:t>
      </w:r>
      <w:r>
        <w:rPr>
          <w:spacing w:val="-3"/>
        </w:rPr>
        <w:t xml:space="preserve"> </w:t>
      </w:r>
      <w:r>
        <w:t>QPI</w:t>
      </w:r>
    </w:p>
    <w:p w:rsidR="00884A3F" w:rsidRDefault="00EF73AA">
      <w:pPr>
        <w:pStyle w:val="ListParagraph"/>
        <w:numPr>
          <w:ilvl w:val="5"/>
          <w:numId w:val="1"/>
        </w:numPr>
        <w:tabs>
          <w:tab w:val="left" w:pos="2712"/>
        </w:tabs>
        <w:spacing w:before="1" w:line="272" w:lineRule="exact"/>
      </w:pPr>
      <w:r>
        <w:t>Reported in October DY6 QPI</w:t>
      </w:r>
      <w:r>
        <w:rPr>
          <w:spacing w:val="-10"/>
        </w:rPr>
        <w:t xml:space="preserve"> </w:t>
      </w:r>
      <w:r>
        <w:t>template</w:t>
      </w:r>
    </w:p>
    <w:p w:rsidR="00884A3F" w:rsidRDefault="00EF73AA">
      <w:pPr>
        <w:pStyle w:val="ListParagraph"/>
        <w:numPr>
          <w:ilvl w:val="5"/>
          <w:numId w:val="1"/>
        </w:numPr>
        <w:tabs>
          <w:tab w:val="left" w:pos="2712"/>
        </w:tabs>
        <w:spacing w:line="269" w:lineRule="exact"/>
      </w:pPr>
      <w:r>
        <w:t>P4P goals must be met before</w:t>
      </w:r>
      <w:r>
        <w:rPr>
          <w:spacing w:val="-17"/>
        </w:rPr>
        <w:t xml:space="preserve"> </w:t>
      </w:r>
      <w:r>
        <w:t>9/30/2017</w:t>
      </w:r>
    </w:p>
    <w:p w:rsidR="00884A3F" w:rsidRDefault="00EF73AA">
      <w:pPr>
        <w:pStyle w:val="ListParagraph"/>
        <w:numPr>
          <w:ilvl w:val="5"/>
          <w:numId w:val="1"/>
        </w:numPr>
        <w:tabs>
          <w:tab w:val="left" w:pos="2712"/>
        </w:tabs>
        <w:spacing w:line="269" w:lineRule="exact"/>
      </w:pPr>
      <w:r>
        <w:t>P4R status</w:t>
      </w:r>
      <w:r>
        <w:rPr>
          <w:spacing w:val="-35"/>
        </w:rPr>
        <w:t xml:space="preserve"> </w:t>
      </w:r>
      <w:r>
        <w:t>must serve at least one MLIU patient over pre-DSRIP baseline before 9/30/2017</w:t>
      </w:r>
    </w:p>
    <w:p w:rsidR="00884A3F" w:rsidRDefault="00EF73AA">
      <w:pPr>
        <w:pStyle w:val="ListParagraph"/>
        <w:numPr>
          <w:ilvl w:val="5"/>
          <w:numId w:val="1"/>
        </w:numPr>
        <w:tabs>
          <w:tab w:val="left" w:pos="2712"/>
        </w:tabs>
        <w:spacing w:before="1" w:line="235" w:lineRule="auto"/>
        <w:ind w:right="115"/>
      </w:pPr>
      <w:r>
        <w:t>DY7-8 consideration – if you know you LIU methodology will be changing in DY7-8 you may want to note that in the progress update</w:t>
      </w:r>
      <w:r>
        <w:rPr>
          <w:spacing w:val="-12"/>
        </w:rPr>
        <w:t xml:space="preserve"> </w:t>
      </w:r>
      <w:r>
        <w:t>field</w:t>
      </w:r>
    </w:p>
    <w:p w:rsidR="00884A3F" w:rsidRDefault="00EF73AA">
      <w:pPr>
        <w:pStyle w:val="ListParagraph"/>
        <w:numPr>
          <w:ilvl w:val="4"/>
          <w:numId w:val="1"/>
        </w:numPr>
        <w:tabs>
          <w:tab w:val="left" w:pos="2260"/>
          <w:tab w:val="left" w:pos="2261"/>
        </w:tabs>
        <w:spacing w:before="1"/>
      </w:pPr>
      <w:r>
        <w:t>M-3: Core</w:t>
      </w:r>
      <w:r>
        <w:rPr>
          <w:spacing w:val="-7"/>
        </w:rPr>
        <w:t xml:space="preserve"> </w:t>
      </w:r>
      <w:r>
        <w:t>Components</w:t>
      </w:r>
    </w:p>
    <w:p w:rsidR="00884A3F" w:rsidRDefault="00EF73AA">
      <w:pPr>
        <w:pStyle w:val="ListParagraph"/>
        <w:numPr>
          <w:ilvl w:val="5"/>
          <w:numId w:val="1"/>
        </w:numPr>
        <w:tabs>
          <w:tab w:val="left" w:pos="2712"/>
        </w:tabs>
        <w:spacing w:line="271" w:lineRule="exact"/>
      </w:pPr>
      <w:r>
        <w:t>NOT eligible for</w:t>
      </w:r>
      <w:r>
        <w:rPr>
          <w:spacing w:val="-8"/>
        </w:rPr>
        <w:t xml:space="preserve"> </w:t>
      </w:r>
      <w:r>
        <w:t>carry-forward</w:t>
      </w:r>
    </w:p>
    <w:p w:rsidR="00884A3F" w:rsidRDefault="00EF73AA">
      <w:pPr>
        <w:pStyle w:val="ListParagraph"/>
        <w:numPr>
          <w:ilvl w:val="5"/>
          <w:numId w:val="1"/>
        </w:numPr>
        <w:tabs>
          <w:tab w:val="left" w:pos="2712"/>
        </w:tabs>
        <w:spacing w:line="268" w:lineRule="exact"/>
      </w:pPr>
      <w:r>
        <w:t>Complete all questions on</w:t>
      </w:r>
      <w:r>
        <w:rPr>
          <w:spacing w:val="-7"/>
        </w:rPr>
        <w:t xml:space="preserve"> </w:t>
      </w:r>
      <w:r>
        <w:t>tab</w:t>
      </w:r>
    </w:p>
    <w:p w:rsidR="00884A3F" w:rsidRDefault="00EF73AA">
      <w:pPr>
        <w:pStyle w:val="ListParagraph"/>
        <w:numPr>
          <w:ilvl w:val="5"/>
          <w:numId w:val="1"/>
        </w:numPr>
        <w:tabs>
          <w:tab w:val="left" w:pos="2712"/>
        </w:tabs>
        <w:spacing w:line="235" w:lineRule="auto"/>
        <w:ind w:right="115"/>
      </w:pPr>
      <w:r>
        <w:t>DY7-8</w:t>
      </w:r>
      <w:r>
        <w:rPr>
          <w:spacing w:val="-8"/>
        </w:rPr>
        <w:t xml:space="preserve"> </w:t>
      </w:r>
      <w:r>
        <w:t>consideration</w:t>
      </w:r>
      <w:r>
        <w:rPr>
          <w:spacing w:val="-11"/>
        </w:rPr>
        <w:t xml:space="preserve"> </w:t>
      </w:r>
      <w:r>
        <w:t>–</w:t>
      </w:r>
      <w:r>
        <w:rPr>
          <w:spacing w:val="-9"/>
        </w:rPr>
        <w:t xml:space="preserve"> </w:t>
      </w:r>
      <w:r>
        <w:t>If</w:t>
      </w:r>
      <w:r>
        <w:rPr>
          <w:spacing w:val="-10"/>
        </w:rPr>
        <w:t xml:space="preserve"> </w:t>
      </w:r>
      <w:r>
        <w:t>you</w:t>
      </w:r>
      <w:r>
        <w:rPr>
          <w:spacing w:val="-10"/>
        </w:rPr>
        <w:t xml:space="preserve"> </w:t>
      </w:r>
      <w:r>
        <w:t>know</w:t>
      </w:r>
      <w:r>
        <w:rPr>
          <w:spacing w:val="-11"/>
        </w:rPr>
        <w:t xml:space="preserve"> </w:t>
      </w:r>
      <w:r>
        <w:t>your</w:t>
      </w:r>
      <w:r>
        <w:rPr>
          <w:spacing w:val="-9"/>
        </w:rPr>
        <w:t xml:space="preserve"> </w:t>
      </w:r>
      <w:r>
        <w:t>project</w:t>
      </w:r>
      <w:r>
        <w:rPr>
          <w:spacing w:val="-8"/>
        </w:rPr>
        <w:t xml:space="preserve"> </w:t>
      </w:r>
      <w:r>
        <w:t>is</w:t>
      </w:r>
      <w:r>
        <w:rPr>
          <w:spacing w:val="-12"/>
        </w:rPr>
        <w:t xml:space="preserve"> </w:t>
      </w:r>
      <w:r>
        <w:t>ending</w:t>
      </w:r>
      <w:r>
        <w:rPr>
          <w:spacing w:val="-10"/>
        </w:rPr>
        <w:t xml:space="preserve"> </w:t>
      </w:r>
      <w:r>
        <w:t>or</w:t>
      </w:r>
      <w:r>
        <w:rPr>
          <w:spacing w:val="-9"/>
        </w:rPr>
        <w:t xml:space="preserve"> </w:t>
      </w:r>
      <w:r>
        <w:t>changing</w:t>
      </w:r>
      <w:r>
        <w:rPr>
          <w:spacing w:val="-10"/>
        </w:rPr>
        <w:t xml:space="preserve"> </w:t>
      </w:r>
      <w:r>
        <w:t>significantly,</w:t>
      </w:r>
      <w:r>
        <w:rPr>
          <w:spacing w:val="-9"/>
        </w:rPr>
        <w:t xml:space="preserve"> </w:t>
      </w:r>
      <w:r>
        <w:t>make</w:t>
      </w:r>
      <w:r>
        <w:rPr>
          <w:spacing w:val="-8"/>
        </w:rPr>
        <w:t xml:space="preserve"> </w:t>
      </w:r>
      <w:r>
        <w:t>sure you note the challenges causing that and the lessons</w:t>
      </w:r>
      <w:r>
        <w:rPr>
          <w:spacing w:val="-16"/>
        </w:rPr>
        <w:t xml:space="preserve"> </w:t>
      </w:r>
      <w:r>
        <w:t>learned</w:t>
      </w:r>
    </w:p>
    <w:p w:rsidR="00884A3F" w:rsidRDefault="00EF73AA">
      <w:pPr>
        <w:pStyle w:val="ListParagraph"/>
        <w:numPr>
          <w:ilvl w:val="4"/>
          <w:numId w:val="1"/>
        </w:numPr>
        <w:tabs>
          <w:tab w:val="left" w:pos="2260"/>
          <w:tab w:val="left" w:pos="2261"/>
        </w:tabs>
        <w:spacing w:before="1"/>
      </w:pPr>
      <w:r>
        <w:t>M-4:</w:t>
      </w:r>
      <w:r>
        <w:rPr>
          <w:spacing w:val="-7"/>
        </w:rPr>
        <w:t xml:space="preserve"> </w:t>
      </w:r>
      <w:r>
        <w:t>Sustainability</w:t>
      </w:r>
    </w:p>
    <w:p w:rsidR="00884A3F" w:rsidRDefault="00EF73AA">
      <w:pPr>
        <w:pStyle w:val="ListParagraph"/>
        <w:numPr>
          <w:ilvl w:val="5"/>
          <w:numId w:val="1"/>
        </w:numPr>
        <w:tabs>
          <w:tab w:val="left" w:pos="2712"/>
        </w:tabs>
        <w:spacing w:line="272" w:lineRule="exact"/>
      </w:pPr>
      <w:r>
        <w:t>NOT eligible for</w:t>
      </w:r>
      <w:r>
        <w:rPr>
          <w:spacing w:val="-6"/>
        </w:rPr>
        <w:t xml:space="preserve"> </w:t>
      </w:r>
      <w:r>
        <w:t>carry-forward</w:t>
      </w:r>
    </w:p>
    <w:p w:rsidR="00884A3F" w:rsidRDefault="00EF73AA">
      <w:pPr>
        <w:pStyle w:val="ListParagraph"/>
        <w:numPr>
          <w:ilvl w:val="5"/>
          <w:numId w:val="1"/>
        </w:numPr>
        <w:tabs>
          <w:tab w:val="left" w:pos="2712"/>
        </w:tabs>
        <w:spacing w:line="269" w:lineRule="exact"/>
      </w:pPr>
      <w:r>
        <w:t>Providers must complete a Sustainability</w:t>
      </w:r>
      <w:r>
        <w:rPr>
          <w:spacing w:val="-18"/>
        </w:rPr>
        <w:t xml:space="preserve"> </w:t>
      </w:r>
      <w:r>
        <w:t>template</w:t>
      </w:r>
    </w:p>
    <w:p w:rsidR="00884A3F" w:rsidRDefault="00EF73AA">
      <w:pPr>
        <w:pStyle w:val="ListParagraph"/>
        <w:numPr>
          <w:ilvl w:val="5"/>
          <w:numId w:val="1"/>
        </w:numPr>
        <w:tabs>
          <w:tab w:val="left" w:pos="2712"/>
        </w:tabs>
        <w:spacing w:before="1" w:line="235" w:lineRule="auto"/>
        <w:ind w:right="117"/>
      </w:pPr>
      <w:r>
        <w:t>If</w:t>
      </w:r>
      <w:r>
        <w:rPr>
          <w:spacing w:val="-4"/>
        </w:rPr>
        <w:t xml:space="preserve"> </w:t>
      </w:r>
      <w:r>
        <w:t>you</w:t>
      </w:r>
      <w:r>
        <w:rPr>
          <w:spacing w:val="-6"/>
        </w:rPr>
        <w:t xml:space="preserve"> </w:t>
      </w:r>
      <w:r>
        <w:t>answer</w:t>
      </w:r>
      <w:r>
        <w:rPr>
          <w:spacing w:val="-6"/>
        </w:rPr>
        <w:t xml:space="preserve"> </w:t>
      </w:r>
      <w:r>
        <w:t>‘Yes’</w:t>
      </w:r>
      <w:r>
        <w:rPr>
          <w:spacing w:val="-3"/>
        </w:rPr>
        <w:t xml:space="preserve"> </w:t>
      </w:r>
      <w:r>
        <w:t>to</w:t>
      </w:r>
      <w:r>
        <w:rPr>
          <w:spacing w:val="-2"/>
        </w:rPr>
        <w:t xml:space="preserve"> </w:t>
      </w:r>
      <w:r>
        <w:t>having</w:t>
      </w:r>
      <w:r>
        <w:rPr>
          <w:spacing w:val="-4"/>
        </w:rPr>
        <w:t xml:space="preserve"> </w:t>
      </w:r>
      <w:r>
        <w:t>completed</w:t>
      </w:r>
      <w:r>
        <w:rPr>
          <w:spacing w:val="-4"/>
        </w:rPr>
        <w:t xml:space="preserve"> </w:t>
      </w:r>
      <w:r>
        <w:t>a</w:t>
      </w:r>
      <w:r>
        <w:rPr>
          <w:spacing w:val="-6"/>
        </w:rPr>
        <w:t xml:space="preserve"> </w:t>
      </w:r>
      <w:r>
        <w:t>Program</w:t>
      </w:r>
      <w:r>
        <w:rPr>
          <w:spacing w:val="-5"/>
        </w:rPr>
        <w:t xml:space="preserve"> </w:t>
      </w:r>
      <w:r>
        <w:t>Evaluation,</w:t>
      </w:r>
      <w:r>
        <w:rPr>
          <w:spacing w:val="-3"/>
        </w:rPr>
        <w:t xml:space="preserve"> </w:t>
      </w:r>
      <w:r>
        <w:t>attached</w:t>
      </w:r>
      <w:r>
        <w:rPr>
          <w:spacing w:val="-6"/>
        </w:rPr>
        <w:t xml:space="preserve"> </w:t>
      </w:r>
      <w:r>
        <w:t>Program</w:t>
      </w:r>
      <w:r>
        <w:rPr>
          <w:spacing w:val="-7"/>
        </w:rPr>
        <w:t xml:space="preserve"> </w:t>
      </w:r>
      <w:r>
        <w:t>Evaluation as</w:t>
      </w:r>
      <w:r>
        <w:rPr>
          <w:spacing w:val="2"/>
        </w:rPr>
        <w:t xml:space="preserve"> </w:t>
      </w:r>
      <w:r>
        <w:t>well</w:t>
      </w:r>
    </w:p>
    <w:p w:rsidR="00884A3F" w:rsidRDefault="00EF73AA">
      <w:pPr>
        <w:pStyle w:val="Heading2"/>
        <w:numPr>
          <w:ilvl w:val="3"/>
          <w:numId w:val="1"/>
        </w:numPr>
        <w:tabs>
          <w:tab w:val="left" w:pos="1811"/>
          <w:tab w:val="left" w:pos="1812"/>
        </w:tabs>
        <w:spacing w:before="1" w:line="279" w:lineRule="exact"/>
      </w:pPr>
      <w:r>
        <w:t>Cat 3</w:t>
      </w:r>
      <w:r>
        <w:rPr>
          <w:spacing w:val="-5"/>
        </w:rPr>
        <w:t xml:space="preserve"> </w:t>
      </w:r>
      <w:r>
        <w:t>Outcomes:</w:t>
      </w:r>
    </w:p>
    <w:p w:rsidR="00884A3F" w:rsidRDefault="00EF73AA">
      <w:pPr>
        <w:pStyle w:val="ListParagraph"/>
        <w:numPr>
          <w:ilvl w:val="4"/>
          <w:numId w:val="1"/>
        </w:numPr>
        <w:tabs>
          <w:tab w:val="left" w:pos="2260"/>
          <w:tab w:val="left" w:pos="2261"/>
        </w:tabs>
        <w:spacing w:line="267" w:lineRule="exact"/>
      </w:pPr>
      <w:r>
        <w:t>Providers must submit an October DY6 Cat 3</w:t>
      </w:r>
      <w:r>
        <w:rPr>
          <w:spacing w:val="-24"/>
        </w:rPr>
        <w:t xml:space="preserve"> </w:t>
      </w:r>
      <w:r>
        <w:t>template</w:t>
      </w:r>
    </w:p>
    <w:p w:rsidR="00884A3F" w:rsidRDefault="00EF73AA">
      <w:pPr>
        <w:pStyle w:val="ListParagraph"/>
        <w:numPr>
          <w:ilvl w:val="4"/>
          <w:numId w:val="1"/>
        </w:numPr>
        <w:tabs>
          <w:tab w:val="left" w:pos="2260"/>
          <w:tab w:val="left" w:pos="2261"/>
        </w:tabs>
        <w:spacing w:before="1"/>
      </w:pPr>
      <w:r>
        <w:t>Template must be signed and</w:t>
      </w:r>
      <w:r>
        <w:rPr>
          <w:spacing w:val="-13"/>
        </w:rPr>
        <w:t xml:space="preserve"> </w:t>
      </w:r>
      <w:r>
        <w:t>certified</w:t>
      </w:r>
    </w:p>
    <w:p w:rsidR="00884A3F" w:rsidRDefault="00EF73AA">
      <w:pPr>
        <w:pStyle w:val="ListParagraph"/>
        <w:numPr>
          <w:ilvl w:val="4"/>
          <w:numId w:val="1"/>
        </w:numPr>
        <w:tabs>
          <w:tab w:val="left" w:pos="2260"/>
          <w:tab w:val="left" w:pos="2261"/>
        </w:tabs>
      </w:pPr>
      <w:r>
        <w:t>All outcomes, except stretch activities, are reported in</w:t>
      </w:r>
      <w:r>
        <w:rPr>
          <w:spacing w:val="-16"/>
        </w:rPr>
        <w:t xml:space="preserve"> </w:t>
      </w:r>
      <w:r>
        <w:t>template</w:t>
      </w:r>
    </w:p>
    <w:p w:rsidR="00884A3F" w:rsidRDefault="00EF73AA">
      <w:pPr>
        <w:pStyle w:val="ListParagraph"/>
        <w:numPr>
          <w:ilvl w:val="4"/>
          <w:numId w:val="1"/>
        </w:numPr>
        <w:tabs>
          <w:tab w:val="left" w:pos="2260"/>
          <w:tab w:val="left" w:pos="2261"/>
        </w:tabs>
      </w:pPr>
      <w:r>
        <w:t>PY3A used to report achievement of any DY5 carried-forward</w:t>
      </w:r>
      <w:r>
        <w:rPr>
          <w:spacing w:val="-16"/>
        </w:rPr>
        <w:t xml:space="preserve"> </w:t>
      </w:r>
      <w:r>
        <w:t>milestones</w:t>
      </w:r>
    </w:p>
    <w:p w:rsidR="00884A3F" w:rsidRDefault="00EF73AA">
      <w:pPr>
        <w:pStyle w:val="ListParagraph"/>
        <w:numPr>
          <w:ilvl w:val="4"/>
          <w:numId w:val="1"/>
        </w:numPr>
        <w:tabs>
          <w:tab w:val="left" w:pos="2260"/>
          <w:tab w:val="left" w:pos="2261"/>
        </w:tabs>
      </w:pPr>
      <w:r>
        <w:t>PY3B is used to report achievement of DY6</w:t>
      </w:r>
      <w:r>
        <w:rPr>
          <w:spacing w:val="-13"/>
        </w:rPr>
        <w:t xml:space="preserve"> </w:t>
      </w:r>
      <w:r>
        <w:t>milestones</w:t>
      </w:r>
    </w:p>
    <w:p w:rsidR="00884A3F" w:rsidRDefault="00EF73AA">
      <w:pPr>
        <w:pStyle w:val="Heading2"/>
        <w:numPr>
          <w:ilvl w:val="3"/>
          <w:numId w:val="1"/>
        </w:numPr>
        <w:tabs>
          <w:tab w:val="left" w:pos="1811"/>
          <w:tab w:val="left" w:pos="1812"/>
        </w:tabs>
      </w:pPr>
      <w:r>
        <w:t>Cat 4 Hospital</w:t>
      </w:r>
      <w:r>
        <w:rPr>
          <w:spacing w:val="-6"/>
        </w:rPr>
        <w:t xml:space="preserve"> </w:t>
      </w:r>
      <w:r>
        <w:t>Measures:</w:t>
      </w:r>
    </w:p>
    <w:p w:rsidR="00884A3F" w:rsidRDefault="00EF73AA">
      <w:pPr>
        <w:pStyle w:val="ListParagraph"/>
        <w:numPr>
          <w:ilvl w:val="4"/>
          <w:numId w:val="1"/>
        </w:numPr>
        <w:tabs>
          <w:tab w:val="left" w:pos="2260"/>
          <w:tab w:val="left" w:pos="2261"/>
        </w:tabs>
      </w:pPr>
      <w:r>
        <w:t>NOT eligible for</w:t>
      </w:r>
      <w:r>
        <w:rPr>
          <w:spacing w:val="-6"/>
        </w:rPr>
        <w:t xml:space="preserve"> </w:t>
      </w:r>
      <w:r>
        <w:t>carry-forward</w:t>
      </w:r>
    </w:p>
    <w:p w:rsidR="00884A3F" w:rsidRDefault="00EF73AA">
      <w:pPr>
        <w:pStyle w:val="ListParagraph"/>
        <w:numPr>
          <w:ilvl w:val="4"/>
          <w:numId w:val="1"/>
        </w:numPr>
        <w:tabs>
          <w:tab w:val="left" w:pos="2260"/>
          <w:tab w:val="left" w:pos="2261"/>
        </w:tabs>
        <w:spacing w:line="267" w:lineRule="exact"/>
      </w:pPr>
      <w:r>
        <w:t>Hospital providers must report any domains not reported in April</w:t>
      </w:r>
      <w:r>
        <w:rPr>
          <w:spacing w:val="-24"/>
        </w:rPr>
        <w:t xml:space="preserve"> </w:t>
      </w:r>
      <w:r>
        <w:t>DY6</w:t>
      </w:r>
    </w:p>
    <w:p w:rsidR="00884A3F" w:rsidRDefault="00EF73AA">
      <w:pPr>
        <w:pStyle w:val="ListParagraph"/>
        <w:numPr>
          <w:ilvl w:val="4"/>
          <w:numId w:val="1"/>
        </w:numPr>
        <w:tabs>
          <w:tab w:val="left" w:pos="2260"/>
          <w:tab w:val="left" w:pos="2261"/>
        </w:tabs>
        <w:spacing w:line="267" w:lineRule="exact"/>
      </w:pPr>
      <w:r>
        <w:t>Requires completed Cat 4 template to be</w:t>
      </w:r>
      <w:r>
        <w:rPr>
          <w:spacing w:val="-12"/>
        </w:rPr>
        <w:t xml:space="preserve"> </w:t>
      </w:r>
      <w:r>
        <w:t>uploaded</w:t>
      </w:r>
    </w:p>
    <w:p w:rsidR="00884A3F" w:rsidRDefault="00EF73AA">
      <w:pPr>
        <w:pStyle w:val="Heading2"/>
        <w:numPr>
          <w:ilvl w:val="2"/>
          <w:numId w:val="1"/>
        </w:numPr>
        <w:tabs>
          <w:tab w:val="left" w:pos="1181"/>
        </w:tabs>
        <w:spacing w:before="1"/>
      </w:pPr>
      <w:r>
        <w:t>Key Reporting</w:t>
      </w:r>
      <w:r>
        <w:rPr>
          <w:spacing w:val="-10"/>
        </w:rPr>
        <w:t xml:space="preserve"> </w:t>
      </w:r>
      <w:r>
        <w:t>Dates:</w:t>
      </w:r>
    </w:p>
    <w:p w:rsidR="00884A3F" w:rsidRDefault="00EF73AA">
      <w:pPr>
        <w:pStyle w:val="ListParagraph"/>
        <w:numPr>
          <w:ilvl w:val="3"/>
          <w:numId w:val="1"/>
        </w:numPr>
        <w:tabs>
          <w:tab w:val="left" w:pos="1811"/>
          <w:tab w:val="left" w:pos="1812"/>
        </w:tabs>
      </w:pPr>
      <w:r>
        <w:t>Friday, October 20: Final date to submit Category 3</w:t>
      </w:r>
      <w:r>
        <w:rPr>
          <w:spacing w:val="-17"/>
        </w:rPr>
        <w:t xml:space="preserve"> </w:t>
      </w:r>
      <w:r>
        <w:t>questions</w:t>
      </w:r>
    </w:p>
    <w:p w:rsidR="00884A3F" w:rsidRDefault="00EF73AA">
      <w:pPr>
        <w:pStyle w:val="ListParagraph"/>
        <w:numPr>
          <w:ilvl w:val="3"/>
          <w:numId w:val="1"/>
        </w:numPr>
        <w:tabs>
          <w:tab w:val="left" w:pos="1811"/>
          <w:tab w:val="left" w:pos="1812"/>
        </w:tabs>
      </w:pPr>
      <w:r>
        <w:t>Wednesday, October 25: Final date to submit all other reporting</w:t>
      </w:r>
      <w:r>
        <w:rPr>
          <w:spacing w:val="-20"/>
        </w:rPr>
        <w:t xml:space="preserve"> </w:t>
      </w:r>
      <w:r>
        <w:t>questions</w:t>
      </w:r>
    </w:p>
    <w:p w:rsidR="00884A3F" w:rsidRDefault="00EF73AA">
      <w:pPr>
        <w:pStyle w:val="ListParagraph"/>
        <w:numPr>
          <w:ilvl w:val="3"/>
          <w:numId w:val="1"/>
        </w:numPr>
        <w:tabs>
          <w:tab w:val="left" w:pos="1811"/>
          <w:tab w:val="left" w:pos="1812"/>
        </w:tabs>
      </w:pPr>
      <w:r>
        <w:t>Tuesday,</w:t>
      </w:r>
      <w:r>
        <w:rPr>
          <w:spacing w:val="-4"/>
        </w:rPr>
        <w:t xml:space="preserve"> </w:t>
      </w:r>
      <w:r>
        <w:t>October</w:t>
      </w:r>
      <w:r>
        <w:rPr>
          <w:spacing w:val="-4"/>
        </w:rPr>
        <w:t xml:space="preserve"> </w:t>
      </w:r>
      <w:r>
        <w:t>31:</w:t>
      </w:r>
      <w:r>
        <w:rPr>
          <w:spacing w:val="-2"/>
        </w:rPr>
        <w:t xml:space="preserve"> </w:t>
      </w:r>
      <w:r>
        <w:t>Completed</w:t>
      </w:r>
      <w:r>
        <w:rPr>
          <w:spacing w:val="-3"/>
        </w:rPr>
        <w:t xml:space="preserve"> </w:t>
      </w:r>
      <w:r>
        <w:t>reports</w:t>
      </w:r>
      <w:r>
        <w:rPr>
          <w:spacing w:val="-5"/>
        </w:rPr>
        <w:t xml:space="preserve"> </w:t>
      </w:r>
      <w:r>
        <w:t>must</w:t>
      </w:r>
      <w:r>
        <w:rPr>
          <w:spacing w:val="-2"/>
        </w:rPr>
        <w:t xml:space="preserve"> </w:t>
      </w:r>
      <w:r>
        <w:t>be</w:t>
      </w:r>
      <w:r>
        <w:rPr>
          <w:spacing w:val="-4"/>
        </w:rPr>
        <w:t xml:space="preserve"> </w:t>
      </w:r>
      <w:r>
        <w:t>ent</w:t>
      </w:r>
      <w:r>
        <w:t>ered</w:t>
      </w:r>
      <w:r>
        <w:rPr>
          <w:spacing w:val="-3"/>
        </w:rPr>
        <w:t xml:space="preserve"> </w:t>
      </w:r>
      <w:r>
        <w:t>in</w:t>
      </w:r>
      <w:r>
        <w:rPr>
          <w:spacing w:val="-3"/>
        </w:rPr>
        <w:t xml:space="preserve"> </w:t>
      </w:r>
      <w:r>
        <w:t>the</w:t>
      </w:r>
      <w:r>
        <w:rPr>
          <w:spacing w:val="-2"/>
        </w:rPr>
        <w:t xml:space="preserve"> </w:t>
      </w:r>
      <w:r>
        <w:t>online</w:t>
      </w:r>
      <w:r>
        <w:rPr>
          <w:spacing w:val="-4"/>
        </w:rPr>
        <w:t xml:space="preserve"> </w:t>
      </w:r>
      <w:r>
        <w:t>system</w:t>
      </w:r>
      <w:r>
        <w:rPr>
          <w:spacing w:val="-1"/>
        </w:rPr>
        <w:t xml:space="preserve"> </w:t>
      </w:r>
      <w:r>
        <w:t>by</w:t>
      </w:r>
      <w:r>
        <w:rPr>
          <w:spacing w:val="-2"/>
        </w:rPr>
        <w:t xml:space="preserve"> </w:t>
      </w:r>
      <w:r>
        <w:t>11:59</w:t>
      </w:r>
      <w:r>
        <w:rPr>
          <w:spacing w:val="-4"/>
        </w:rPr>
        <w:t xml:space="preserve"> </w:t>
      </w:r>
      <w:r>
        <w:t>p.m.</w:t>
      </w:r>
    </w:p>
    <w:p w:rsidR="00884A3F" w:rsidRDefault="00884A3F">
      <w:pPr>
        <w:sectPr w:rsidR="00884A3F">
          <w:pgSz w:w="12240" w:h="15840"/>
          <w:pgMar w:top="720" w:right="600" w:bottom="280" w:left="620" w:header="720" w:footer="720" w:gutter="0"/>
          <w:cols w:space="720"/>
        </w:sectPr>
      </w:pPr>
    </w:p>
    <w:p w:rsidR="00884A3F" w:rsidRDefault="00EF73AA">
      <w:pPr>
        <w:pStyle w:val="Heading2"/>
        <w:numPr>
          <w:ilvl w:val="2"/>
          <w:numId w:val="1"/>
        </w:numPr>
        <w:tabs>
          <w:tab w:val="left" w:pos="1181"/>
        </w:tabs>
        <w:spacing w:before="77"/>
      </w:pPr>
      <w:r>
        <w:lastRenderedPageBreak/>
        <w:t>Question and Answer/Open</w:t>
      </w:r>
      <w:r>
        <w:rPr>
          <w:spacing w:val="-13"/>
        </w:rPr>
        <w:t xml:space="preserve"> </w:t>
      </w:r>
      <w:r>
        <w:t>Forum:</w:t>
      </w:r>
    </w:p>
    <w:p w:rsidR="00884A3F" w:rsidRDefault="00EF73AA">
      <w:pPr>
        <w:pStyle w:val="ListParagraph"/>
        <w:numPr>
          <w:ilvl w:val="2"/>
          <w:numId w:val="1"/>
        </w:numPr>
        <w:tabs>
          <w:tab w:val="left" w:pos="1181"/>
        </w:tabs>
        <w:ind w:right="116"/>
        <w:jc w:val="both"/>
      </w:pPr>
      <w:r>
        <w:t>Question: Regarding sustainability template, if we answered ‘yes’ to having performed a program evaluation we need to upload the evaluation? I was under the impression we cou</w:t>
      </w:r>
      <w:r>
        <w:t>ld answer ‘yes’ and complete the qualitative questions without uploading the</w:t>
      </w:r>
      <w:r>
        <w:rPr>
          <w:spacing w:val="-15"/>
        </w:rPr>
        <w:t xml:space="preserve"> </w:t>
      </w:r>
      <w:r>
        <w:t>evaluation.</w:t>
      </w:r>
    </w:p>
    <w:p w:rsidR="00884A3F" w:rsidRDefault="00EF73AA">
      <w:pPr>
        <w:pStyle w:val="ListParagraph"/>
        <w:numPr>
          <w:ilvl w:val="3"/>
          <w:numId w:val="1"/>
        </w:numPr>
        <w:tabs>
          <w:tab w:val="left" w:pos="1812"/>
        </w:tabs>
        <w:spacing w:before="8" w:line="266" w:lineRule="exact"/>
        <w:ind w:right="115"/>
        <w:jc w:val="both"/>
      </w:pPr>
      <w:r>
        <w:t>Answer:</w:t>
      </w:r>
      <w:r>
        <w:rPr>
          <w:spacing w:val="-12"/>
        </w:rPr>
        <w:t xml:space="preserve"> </w:t>
      </w:r>
      <w:r>
        <w:t>Read</w:t>
      </w:r>
      <w:r>
        <w:rPr>
          <w:spacing w:val="-14"/>
        </w:rPr>
        <w:t xml:space="preserve"> </w:t>
      </w:r>
      <w:r>
        <w:t>template</w:t>
      </w:r>
      <w:r>
        <w:rPr>
          <w:spacing w:val="-12"/>
        </w:rPr>
        <w:t xml:space="preserve"> </w:t>
      </w:r>
      <w:r>
        <w:t>instructions.</w:t>
      </w:r>
      <w:r>
        <w:rPr>
          <w:spacing w:val="-13"/>
        </w:rPr>
        <w:t xml:space="preserve"> </w:t>
      </w:r>
      <w:r>
        <w:t>We</w:t>
      </w:r>
      <w:r>
        <w:rPr>
          <w:spacing w:val="-12"/>
        </w:rPr>
        <w:t xml:space="preserve"> </w:t>
      </w:r>
      <w:r>
        <w:t>clarified</w:t>
      </w:r>
      <w:r>
        <w:rPr>
          <w:spacing w:val="-13"/>
        </w:rPr>
        <w:t xml:space="preserve"> </w:t>
      </w:r>
      <w:r>
        <w:t>on</w:t>
      </w:r>
      <w:r>
        <w:rPr>
          <w:spacing w:val="-14"/>
        </w:rPr>
        <w:t xml:space="preserve"> </w:t>
      </w:r>
      <w:r>
        <w:t>the</w:t>
      </w:r>
      <w:r>
        <w:rPr>
          <w:spacing w:val="-12"/>
        </w:rPr>
        <w:t xml:space="preserve"> </w:t>
      </w:r>
      <w:r>
        <w:t>Anchor</w:t>
      </w:r>
      <w:r>
        <w:rPr>
          <w:spacing w:val="-13"/>
        </w:rPr>
        <w:t xml:space="preserve"> </w:t>
      </w:r>
      <w:r>
        <w:t>call</w:t>
      </w:r>
      <w:r>
        <w:rPr>
          <w:spacing w:val="-13"/>
        </w:rPr>
        <w:t xml:space="preserve"> </w:t>
      </w:r>
      <w:r>
        <w:t>last</w:t>
      </w:r>
      <w:r>
        <w:rPr>
          <w:spacing w:val="-13"/>
        </w:rPr>
        <w:t xml:space="preserve"> </w:t>
      </w:r>
      <w:r>
        <w:t>Friday,</w:t>
      </w:r>
      <w:r>
        <w:rPr>
          <w:spacing w:val="-12"/>
        </w:rPr>
        <w:t xml:space="preserve"> </w:t>
      </w:r>
      <w:r>
        <w:t>HHSC</w:t>
      </w:r>
      <w:r>
        <w:rPr>
          <w:spacing w:val="-13"/>
        </w:rPr>
        <w:t xml:space="preserve"> </w:t>
      </w:r>
      <w:r>
        <w:t>said</w:t>
      </w:r>
      <w:r>
        <w:rPr>
          <w:spacing w:val="-14"/>
        </w:rPr>
        <w:t xml:space="preserve"> </w:t>
      </w:r>
      <w:r>
        <w:t>if</w:t>
      </w:r>
      <w:r>
        <w:rPr>
          <w:spacing w:val="-13"/>
        </w:rPr>
        <w:t xml:space="preserve"> </w:t>
      </w:r>
      <w:r>
        <w:t>you</w:t>
      </w:r>
      <w:r>
        <w:rPr>
          <w:spacing w:val="-14"/>
        </w:rPr>
        <w:t xml:space="preserve"> </w:t>
      </w:r>
      <w:r>
        <w:t>answer ‘yes’, they want you to upload the program</w:t>
      </w:r>
      <w:r>
        <w:rPr>
          <w:spacing w:val="-10"/>
        </w:rPr>
        <w:t xml:space="preserve"> </w:t>
      </w:r>
      <w:r>
        <w:t>evaluation.</w:t>
      </w:r>
    </w:p>
    <w:p w:rsidR="00884A3F" w:rsidRDefault="00EF73AA">
      <w:pPr>
        <w:pStyle w:val="ListParagraph"/>
        <w:numPr>
          <w:ilvl w:val="3"/>
          <w:numId w:val="1"/>
        </w:numPr>
        <w:tabs>
          <w:tab w:val="left" w:pos="1812"/>
        </w:tabs>
        <w:spacing w:before="6"/>
        <w:ind w:right="122"/>
        <w:jc w:val="both"/>
      </w:pPr>
      <w:r>
        <w:t>Follow-up Question: If we did several separate components (e.g., 6) but not one complete program evaluation should we upload all those</w:t>
      </w:r>
      <w:r>
        <w:rPr>
          <w:spacing w:val="-13"/>
        </w:rPr>
        <w:t xml:space="preserve"> </w:t>
      </w:r>
      <w:r>
        <w:t>documents?</w:t>
      </w:r>
    </w:p>
    <w:p w:rsidR="00884A3F" w:rsidRDefault="00EF73AA">
      <w:pPr>
        <w:pStyle w:val="ListParagraph"/>
        <w:numPr>
          <w:ilvl w:val="3"/>
          <w:numId w:val="1"/>
        </w:numPr>
        <w:tabs>
          <w:tab w:val="left" w:pos="1812"/>
        </w:tabs>
        <w:ind w:right="116"/>
        <w:jc w:val="both"/>
      </w:pPr>
      <w:r>
        <w:t>Answer:</w:t>
      </w:r>
      <w:r>
        <w:rPr>
          <w:spacing w:val="-5"/>
        </w:rPr>
        <w:t xml:space="preserve"> </w:t>
      </w:r>
      <w:r>
        <w:t>In</w:t>
      </w:r>
      <w:r>
        <w:rPr>
          <w:spacing w:val="-9"/>
        </w:rPr>
        <w:t xml:space="preserve"> </w:t>
      </w:r>
      <w:r>
        <w:t>that</w:t>
      </w:r>
      <w:r>
        <w:rPr>
          <w:spacing w:val="-6"/>
        </w:rPr>
        <w:t xml:space="preserve"> </w:t>
      </w:r>
      <w:r>
        <w:t>instance</w:t>
      </w:r>
      <w:r>
        <w:rPr>
          <w:spacing w:val="-7"/>
        </w:rPr>
        <w:t xml:space="preserve"> </w:t>
      </w:r>
      <w:r>
        <w:t>we</w:t>
      </w:r>
      <w:r>
        <w:rPr>
          <w:spacing w:val="-5"/>
        </w:rPr>
        <w:t xml:space="preserve"> </w:t>
      </w:r>
      <w:r>
        <w:t>would</w:t>
      </w:r>
      <w:r>
        <w:rPr>
          <w:spacing w:val="-7"/>
        </w:rPr>
        <w:t xml:space="preserve"> </w:t>
      </w:r>
      <w:r>
        <w:t>recommend</w:t>
      </w:r>
      <w:r>
        <w:rPr>
          <w:spacing w:val="-7"/>
        </w:rPr>
        <w:t xml:space="preserve"> </w:t>
      </w:r>
      <w:r>
        <w:t>doing</w:t>
      </w:r>
      <w:r>
        <w:rPr>
          <w:spacing w:val="-9"/>
        </w:rPr>
        <w:t xml:space="preserve"> </w:t>
      </w:r>
      <w:r>
        <w:t>a</w:t>
      </w:r>
      <w:r>
        <w:rPr>
          <w:spacing w:val="-6"/>
        </w:rPr>
        <w:t xml:space="preserve"> </w:t>
      </w:r>
      <w:r>
        <w:t>cover</w:t>
      </w:r>
      <w:r>
        <w:rPr>
          <w:spacing w:val="-8"/>
        </w:rPr>
        <w:t xml:space="preserve"> </w:t>
      </w:r>
      <w:r>
        <w:t>sheet</w:t>
      </w:r>
      <w:r>
        <w:rPr>
          <w:spacing w:val="-7"/>
        </w:rPr>
        <w:t xml:space="preserve"> </w:t>
      </w:r>
      <w:r>
        <w:t>explaining</w:t>
      </w:r>
      <w:r>
        <w:rPr>
          <w:spacing w:val="-6"/>
        </w:rPr>
        <w:t xml:space="preserve"> </w:t>
      </w:r>
      <w:r>
        <w:t>what</w:t>
      </w:r>
      <w:r>
        <w:rPr>
          <w:spacing w:val="-5"/>
        </w:rPr>
        <w:t xml:space="preserve"> </w:t>
      </w:r>
      <w:r>
        <w:t>components</w:t>
      </w:r>
      <w:r>
        <w:rPr>
          <w:spacing w:val="-8"/>
        </w:rPr>
        <w:t xml:space="preserve"> </w:t>
      </w:r>
      <w:r>
        <w:t xml:space="preserve">were completed and </w:t>
      </w:r>
      <w:r>
        <w:t>upload to the</w:t>
      </w:r>
      <w:r>
        <w:rPr>
          <w:spacing w:val="-11"/>
        </w:rPr>
        <w:t xml:space="preserve"> </w:t>
      </w:r>
      <w:r>
        <w:t>system.</w:t>
      </w:r>
    </w:p>
    <w:p w:rsidR="00884A3F" w:rsidRDefault="00EF73AA">
      <w:pPr>
        <w:pStyle w:val="ListParagraph"/>
        <w:numPr>
          <w:ilvl w:val="3"/>
          <w:numId w:val="1"/>
        </w:numPr>
        <w:tabs>
          <w:tab w:val="left" w:pos="1812"/>
        </w:tabs>
        <w:spacing w:before="8" w:line="266" w:lineRule="exact"/>
        <w:ind w:right="120"/>
        <w:jc w:val="both"/>
      </w:pPr>
      <w:r>
        <w:t>Follow-up Question: We planned on having project leads combine documents into one and then have an appendix at the beginning of the document. Would that be</w:t>
      </w:r>
      <w:r>
        <w:rPr>
          <w:spacing w:val="-19"/>
        </w:rPr>
        <w:t xml:space="preserve"> </w:t>
      </w:r>
      <w:r>
        <w:t>ok?</w:t>
      </w:r>
    </w:p>
    <w:p w:rsidR="00884A3F" w:rsidRDefault="00EF73AA">
      <w:pPr>
        <w:pStyle w:val="ListParagraph"/>
        <w:numPr>
          <w:ilvl w:val="3"/>
          <w:numId w:val="1"/>
        </w:numPr>
        <w:tabs>
          <w:tab w:val="left" w:pos="1812"/>
        </w:tabs>
        <w:spacing w:before="6"/>
        <w:ind w:right="116"/>
        <w:jc w:val="both"/>
      </w:pPr>
      <w:r>
        <w:t>Answer: Use the narrative field on (c) ‘Describe program evaluation method</w:t>
      </w:r>
      <w:r>
        <w:t>ology’ to explain how the information was compiled and what information you are giving</w:t>
      </w:r>
      <w:r>
        <w:rPr>
          <w:spacing w:val="-21"/>
        </w:rPr>
        <w:t xml:space="preserve"> </w:t>
      </w:r>
      <w:r>
        <w:t>them</w:t>
      </w:r>
    </w:p>
    <w:p w:rsidR="00884A3F" w:rsidRDefault="00EF73AA">
      <w:pPr>
        <w:pStyle w:val="ListParagraph"/>
        <w:numPr>
          <w:ilvl w:val="2"/>
          <w:numId w:val="1"/>
        </w:numPr>
        <w:tabs>
          <w:tab w:val="left" w:pos="1181"/>
        </w:tabs>
        <w:ind w:right="113"/>
        <w:jc w:val="both"/>
      </w:pPr>
      <w:r>
        <w:t>Question:</w:t>
      </w:r>
      <w:r>
        <w:rPr>
          <w:spacing w:val="-3"/>
        </w:rPr>
        <w:t xml:space="preserve"> </w:t>
      </w:r>
      <w:r>
        <w:t>It</w:t>
      </w:r>
      <w:r>
        <w:rPr>
          <w:spacing w:val="-6"/>
        </w:rPr>
        <w:t xml:space="preserve"> </w:t>
      </w:r>
      <w:r>
        <w:t>was</w:t>
      </w:r>
      <w:r>
        <w:rPr>
          <w:spacing w:val="-5"/>
        </w:rPr>
        <w:t xml:space="preserve"> </w:t>
      </w:r>
      <w:r>
        <w:t>mentioned</w:t>
      </w:r>
      <w:r>
        <w:rPr>
          <w:spacing w:val="-4"/>
        </w:rPr>
        <w:t xml:space="preserve"> </w:t>
      </w:r>
      <w:r>
        <w:t>we</w:t>
      </w:r>
      <w:r>
        <w:rPr>
          <w:spacing w:val="-5"/>
        </w:rPr>
        <w:t xml:space="preserve"> </w:t>
      </w:r>
      <w:r>
        <w:t>will</w:t>
      </w:r>
      <w:r>
        <w:rPr>
          <w:spacing w:val="-4"/>
        </w:rPr>
        <w:t xml:space="preserve"> </w:t>
      </w:r>
      <w:r>
        <w:t>have</w:t>
      </w:r>
      <w:r>
        <w:rPr>
          <w:spacing w:val="-3"/>
        </w:rPr>
        <w:t xml:space="preserve"> </w:t>
      </w:r>
      <w:r>
        <w:t>the</w:t>
      </w:r>
      <w:r>
        <w:rPr>
          <w:spacing w:val="-6"/>
        </w:rPr>
        <w:t xml:space="preserve"> </w:t>
      </w:r>
      <w:r>
        <w:t>opportunity</w:t>
      </w:r>
      <w:r>
        <w:rPr>
          <w:spacing w:val="-3"/>
        </w:rPr>
        <w:t xml:space="preserve"> </w:t>
      </w:r>
      <w:r>
        <w:t>to</w:t>
      </w:r>
      <w:r>
        <w:rPr>
          <w:spacing w:val="-2"/>
        </w:rPr>
        <w:t xml:space="preserve"> </w:t>
      </w:r>
      <w:r>
        <w:t>report</w:t>
      </w:r>
      <w:r>
        <w:rPr>
          <w:spacing w:val="-6"/>
        </w:rPr>
        <w:t xml:space="preserve"> </w:t>
      </w:r>
      <w:r>
        <w:t>DY7-8</w:t>
      </w:r>
      <w:r>
        <w:rPr>
          <w:spacing w:val="-5"/>
        </w:rPr>
        <w:t xml:space="preserve"> </w:t>
      </w:r>
      <w:r>
        <w:t>planning</w:t>
      </w:r>
      <w:r>
        <w:rPr>
          <w:spacing w:val="-4"/>
        </w:rPr>
        <w:t xml:space="preserve"> </w:t>
      </w:r>
      <w:r>
        <w:t>sometime</w:t>
      </w:r>
      <w:r>
        <w:rPr>
          <w:spacing w:val="-3"/>
        </w:rPr>
        <w:t xml:space="preserve"> </w:t>
      </w:r>
      <w:r>
        <w:t>in</w:t>
      </w:r>
      <w:r>
        <w:rPr>
          <w:spacing w:val="-4"/>
        </w:rPr>
        <w:t xml:space="preserve"> </w:t>
      </w:r>
      <w:r>
        <w:t>January-April 2018.</w:t>
      </w:r>
      <w:r>
        <w:rPr>
          <w:spacing w:val="-8"/>
        </w:rPr>
        <w:t xml:space="preserve"> </w:t>
      </w:r>
      <w:r>
        <w:t>So</w:t>
      </w:r>
      <w:r>
        <w:rPr>
          <w:spacing w:val="-7"/>
        </w:rPr>
        <w:t xml:space="preserve"> </w:t>
      </w:r>
      <w:r>
        <w:t>thinking</w:t>
      </w:r>
      <w:r>
        <w:rPr>
          <w:spacing w:val="-9"/>
        </w:rPr>
        <w:t xml:space="preserve"> </w:t>
      </w:r>
      <w:r>
        <w:t>of</w:t>
      </w:r>
      <w:r>
        <w:rPr>
          <w:spacing w:val="-8"/>
        </w:rPr>
        <w:t xml:space="preserve"> </w:t>
      </w:r>
      <w:r>
        <w:t>how</w:t>
      </w:r>
      <w:r>
        <w:rPr>
          <w:spacing w:val="-7"/>
        </w:rPr>
        <w:t xml:space="preserve"> </w:t>
      </w:r>
      <w:r>
        <w:t>we</w:t>
      </w:r>
      <w:r>
        <w:rPr>
          <w:spacing w:val="-7"/>
        </w:rPr>
        <w:t xml:space="preserve"> </w:t>
      </w:r>
      <w:r>
        <w:t>are</w:t>
      </w:r>
      <w:r>
        <w:rPr>
          <w:spacing w:val="-7"/>
        </w:rPr>
        <w:t xml:space="preserve"> </w:t>
      </w:r>
      <w:r>
        <w:t>structuring</w:t>
      </w:r>
      <w:r>
        <w:rPr>
          <w:spacing w:val="-9"/>
        </w:rPr>
        <w:t xml:space="preserve"> </w:t>
      </w:r>
      <w:r>
        <w:t>our</w:t>
      </w:r>
      <w:r>
        <w:rPr>
          <w:spacing w:val="-8"/>
        </w:rPr>
        <w:t xml:space="preserve"> </w:t>
      </w:r>
      <w:r>
        <w:t>reposes</w:t>
      </w:r>
      <w:r>
        <w:rPr>
          <w:spacing w:val="-8"/>
        </w:rPr>
        <w:t xml:space="preserve"> </w:t>
      </w:r>
      <w:r>
        <w:t>in</w:t>
      </w:r>
      <w:r>
        <w:rPr>
          <w:spacing w:val="-9"/>
        </w:rPr>
        <w:t xml:space="preserve"> </w:t>
      </w:r>
      <w:r>
        <w:t>the</w:t>
      </w:r>
      <w:r>
        <w:rPr>
          <w:spacing w:val="-8"/>
        </w:rPr>
        <w:t xml:space="preserve"> </w:t>
      </w:r>
      <w:r>
        <w:t>provider</w:t>
      </w:r>
      <w:r>
        <w:rPr>
          <w:spacing w:val="-8"/>
        </w:rPr>
        <w:t xml:space="preserve"> </w:t>
      </w:r>
      <w:r>
        <w:t>summary</w:t>
      </w:r>
      <w:r>
        <w:rPr>
          <w:spacing w:val="-10"/>
        </w:rPr>
        <w:t xml:space="preserve"> </w:t>
      </w:r>
      <w:r>
        <w:t>regarding</w:t>
      </w:r>
      <w:r>
        <w:rPr>
          <w:spacing w:val="-9"/>
        </w:rPr>
        <w:t xml:space="preserve"> </w:t>
      </w:r>
      <w:r>
        <w:t>our</w:t>
      </w:r>
      <w:r>
        <w:rPr>
          <w:spacing w:val="-8"/>
        </w:rPr>
        <w:t xml:space="preserve"> </w:t>
      </w:r>
      <w:r>
        <w:t>plans</w:t>
      </w:r>
      <w:r>
        <w:rPr>
          <w:spacing w:val="-8"/>
        </w:rPr>
        <w:t xml:space="preserve"> </w:t>
      </w:r>
      <w:r>
        <w:t>for</w:t>
      </w:r>
      <w:r>
        <w:rPr>
          <w:spacing w:val="-8"/>
        </w:rPr>
        <w:t xml:space="preserve"> </w:t>
      </w:r>
      <w:r>
        <w:t>DY7- 8, are we in the baseline period or is that shifting? Is it still</w:t>
      </w:r>
      <w:r>
        <w:rPr>
          <w:spacing w:val="-32"/>
        </w:rPr>
        <w:t xml:space="preserve"> </w:t>
      </w:r>
      <w:r>
        <w:t>DY6?</w:t>
      </w:r>
    </w:p>
    <w:p w:rsidR="00884A3F" w:rsidRDefault="00EF73AA">
      <w:pPr>
        <w:pStyle w:val="ListParagraph"/>
        <w:numPr>
          <w:ilvl w:val="3"/>
          <w:numId w:val="1"/>
        </w:numPr>
        <w:tabs>
          <w:tab w:val="left" w:pos="1812"/>
        </w:tabs>
        <w:ind w:right="115"/>
        <w:jc w:val="both"/>
      </w:pPr>
      <w:r>
        <w:t>Answer: We are putting together a timeline for plan submissions and will share that sometime in November.</w:t>
      </w:r>
      <w:r>
        <w:rPr>
          <w:spacing w:val="-9"/>
        </w:rPr>
        <w:t xml:space="preserve"> </w:t>
      </w:r>
      <w:r>
        <w:t>HHSC</w:t>
      </w:r>
      <w:r>
        <w:rPr>
          <w:spacing w:val="-7"/>
        </w:rPr>
        <w:t xml:space="preserve"> </w:t>
      </w:r>
      <w:r>
        <w:t>has</w:t>
      </w:r>
      <w:r>
        <w:rPr>
          <w:spacing w:val="-7"/>
        </w:rPr>
        <w:t xml:space="preserve"> </w:t>
      </w:r>
      <w:r>
        <w:t>not</w:t>
      </w:r>
      <w:r>
        <w:rPr>
          <w:spacing w:val="-6"/>
        </w:rPr>
        <w:t xml:space="preserve"> </w:t>
      </w:r>
      <w:r>
        <w:t>indicated</w:t>
      </w:r>
      <w:r>
        <w:rPr>
          <w:spacing w:val="-8"/>
        </w:rPr>
        <w:t xml:space="preserve"> </w:t>
      </w:r>
      <w:r>
        <w:t>the</w:t>
      </w:r>
      <w:r>
        <w:t>y</w:t>
      </w:r>
      <w:r>
        <w:rPr>
          <w:spacing w:val="-6"/>
        </w:rPr>
        <w:t xml:space="preserve"> </w:t>
      </w:r>
      <w:r>
        <w:t>are</w:t>
      </w:r>
      <w:r>
        <w:rPr>
          <w:spacing w:val="-6"/>
        </w:rPr>
        <w:t xml:space="preserve"> </w:t>
      </w:r>
      <w:r>
        <w:t>shifting</w:t>
      </w:r>
      <w:r>
        <w:rPr>
          <w:spacing w:val="-7"/>
        </w:rPr>
        <w:t xml:space="preserve"> </w:t>
      </w:r>
      <w:r>
        <w:t>baselines,</w:t>
      </w:r>
      <w:r>
        <w:rPr>
          <w:spacing w:val="-9"/>
        </w:rPr>
        <w:t xml:space="preserve"> </w:t>
      </w:r>
      <w:r>
        <w:t>they</w:t>
      </w:r>
      <w:r>
        <w:rPr>
          <w:spacing w:val="-8"/>
        </w:rPr>
        <w:t xml:space="preserve"> </w:t>
      </w:r>
      <w:r>
        <w:t>expect</w:t>
      </w:r>
      <w:r>
        <w:rPr>
          <w:spacing w:val="-6"/>
        </w:rPr>
        <w:t xml:space="preserve"> </w:t>
      </w:r>
      <w:r>
        <w:t>baselines</w:t>
      </w:r>
      <w:r>
        <w:rPr>
          <w:spacing w:val="-6"/>
        </w:rPr>
        <w:t xml:space="preserve"> </w:t>
      </w:r>
      <w:r>
        <w:t>to</w:t>
      </w:r>
      <w:r>
        <w:rPr>
          <w:spacing w:val="-5"/>
        </w:rPr>
        <w:t xml:space="preserve"> </w:t>
      </w:r>
      <w:r>
        <w:t>be</w:t>
      </w:r>
      <w:r>
        <w:rPr>
          <w:spacing w:val="-8"/>
        </w:rPr>
        <w:t xml:space="preserve"> </w:t>
      </w:r>
      <w:r>
        <w:t>based</w:t>
      </w:r>
      <w:r>
        <w:rPr>
          <w:spacing w:val="-9"/>
        </w:rPr>
        <w:t xml:space="preserve"> </w:t>
      </w:r>
      <w:r>
        <w:t>off</w:t>
      </w:r>
      <w:r>
        <w:rPr>
          <w:spacing w:val="-9"/>
        </w:rPr>
        <w:t xml:space="preserve"> </w:t>
      </w:r>
      <w:r>
        <w:t>of calendar year 2017. There will be delayed baselines and such, but expect most to be calendar year 2017.</w:t>
      </w:r>
    </w:p>
    <w:p w:rsidR="00884A3F" w:rsidRDefault="00EF73AA">
      <w:pPr>
        <w:pStyle w:val="ListParagraph"/>
        <w:numPr>
          <w:ilvl w:val="2"/>
          <w:numId w:val="1"/>
        </w:numPr>
        <w:tabs>
          <w:tab w:val="left" w:pos="1181"/>
        </w:tabs>
        <w:ind w:right="117"/>
      </w:pPr>
      <w:r>
        <w:t>Question: In the QPI template we have a carry-forward from DY5. Do we need to submit a coversheet if we are</w:t>
      </w:r>
      <w:r>
        <w:rPr>
          <w:spacing w:val="-1"/>
        </w:rPr>
        <w:t xml:space="preserve"> </w:t>
      </w:r>
      <w:r>
        <w:t>forfeiting?</w:t>
      </w:r>
    </w:p>
    <w:p w:rsidR="00884A3F" w:rsidRDefault="00EF73AA">
      <w:pPr>
        <w:pStyle w:val="ListParagraph"/>
        <w:numPr>
          <w:ilvl w:val="3"/>
          <w:numId w:val="1"/>
        </w:numPr>
        <w:tabs>
          <w:tab w:val="left" w:pos="1812"/>
        </w:tabs>
        <w:spacing w:before="1"/>
        <w:ind w:right="113"/>
        <w:jc w:val="both"/>
      </w:pPr>
      <w:r>
        <w:t>Answer: If you know you are forfeiting, you can either say, “No-Not Started” or “Partially Complete.” Providers should also update the p</w:t>
      </w:r>
      <w:r>
        <w:t xml:space="preserve">rogress update field in the reporting system to let HHSC know </w:t>
      </w:r>
      <w:proofErr w:type="gramStart"/>
      <w:r>
        <w:t>it’s</w:t>
      </w:r>
      <w:proofErr w:type="gramEnd"/>
      <w:r>
        <w:t xml:space="preserve"> being forfeited and that is why there is no additional</w:t>
      </w:r>
      <w:r>
        <w:rPr>
          <w:spacing w:val="-15"/>
        </w:rPr>
        <w:t xml:space="preserve"> </w:t>
      </w:r>
      <w:r>
        <w:t>documentation.</w:t>
      </w:r>
    </w:p>
    <w:p w:rsidR="00884A3F" w:rsidRDefault="00EF73AA">
      <w:pPr>
        <w:pStyle w:val="ListParagraph"/>
        <w:numPr>
          <w:ilvl w:val="3"/>
          <w:numId w:val="1"/>
        </w:numPr>
        <w:tabs>
          <w:tab w:val="left" w:pos="1811"/>
          <w:tab w:val="left" w:pos="1812"/>
        </w:tabs>
        <w:spacing w:line="278" w:lineRule="exact"/>
      </w:pPr>
      <w:r>
        <w:t>Follow up Question: So we don’t need to submit a cover</w:t>
      </w:r>
      <w:r>
        <w:rPr>
          <w:spacing w:val="-15"/>
        </w:rPr>
        <w:t xml:space="preserve"> </w:t>
      </w:r>
      <w:r>
        <w:t>sheet?</w:t>
      </w:r>
    </w:p>
    <w:p w:rsidR="00884A3F" w:rsidRDefault="00EF73AA">
      <w:pPr>
        <w:pStyle w:val="ListParagraph"/>
        <w:numPr>
          <w:ilvl w:val="3"/>
          <w:numId w:val="1"/>
        </w:numPr>
        <w:tabs>
          <w:tab w:val="left" w:pos="1811"/>
          <w:tab w:val="left" w:pos="1812"/>
        </w:tabs>
      </w:pPr>
      <w:r>
        <w:t>Answer:</w:t>
      </w:r>
      <w:r>
        <w:rPr>
          <w:spacing w:val="-13"/>
        </w:rPr>
        <w:t xml:space="preserve"> </w:t>
      </w:r>
      <w:r>
        <w:t>Not</w:t>
      </w:r>
      <w:r>
        <w:rPr>
          <w:spacing w:val="-14"/>
        </w:rPr>
        <w:t xml:space="preserve"> </w:t>
      </w:r>
      <w:r>
        <w:t>unless</w:t>
      </w:r>
      <w:r>
        <w:rPr>
          <w:spacing w:val="-15"/>
        </w:rPr>
        <w:t xml:space="preserve"> </w:t>
      </w:r>
      <w:r>
        <w:t>you</w:t>
      </w:r>
      <w:r>
        <w:rPr>
          <w:spacing w:val="-13"/>
        </w:rPr>
        <w:t xml:space="preserve"> </w:t>
      </w:r>
      <w:r>
        <w:t>are</w:t>
      </w:r>
      <w:r>
        <w:rPr>
          <w:spacing w:val="-16"/>
        </w:rPr>
        <w:t xml:space="preserve"> </w:t>
      </w:r>
      <w:r>
        <w:t>submitting</w:t>
      </w:r>
      <w:r>
        <w:rPr>
          <w:spacing w:val="-13"/>
        </w:rPr>
        <w:t xml:space="preserve"> </w:t>
      </w:r>
      <w:r>
        <w:t>supporting</w:t>
      </w:r>
      <w:r>
        <w:rPr>
          <w:spacing w:val="-13"/>
        </w:rPr>
        <w:t xml:space="preserve"> </w:t>
      </w:r>
      <w:r>
        <w:t>documentation</w:t>
      </w:r>
      <w:r>
        <w:rPr>
          <w:spacing w:val="-15"/>
        </w:rPr>
        <w:t xml:space="preserve"> </w:t>
      </w:r>
      <w:r>
        <w:t>on</w:t>
      </w:r>
      <w:r>
        <w:rPr>
          <w:spacing w:val="-15"/>
        </w:rPr>
        <w:t xml:space="preserve"> </w:t>
      </w:r>
      <w:r>
        <w:t>why</w:t>
      </w:r>
      <w:r>
        <w:rPr>
          <w:spacing w:val="-14"/>
        </w:rPr>
        <w:t xml:space="preserve"> </w:t>
      </w:r>
      <w:r>
        <w:t>you</w:t>
      </w:r>
      <w:r>
        <w:rPr>
          <w:spacing w:val="-13"/>
        </w:rPr>
        <w:t xml:space="preserve"> </w:t>
      </w:r>
      <w:r>
        <w:t>are</w:t>
      </w:r>
      <w:r>
        <w:rPr>
          <w:spacing w:val="-16"/>
        </w:rPr>
        <w:t xml:space="preserve"> </w:t>
      </w:r>
      <w:r>
        <w:t>not</w:t>
      </w:r>
      <w:r>
        <w:rPr>
          <w:spacing w:val="-11"/>
        </w:rPr>
        <w:t xml:space="preserve"> </w:t>
      </w:r>
      <w:r>
        <w:t>achieving</w:t>
      </w:r>
      <w:r>
        <w:rPr>
          <w:spacing w:val="-12"/>
        </w:rPr>
        <w:t xml:space="preserve"> </w:t>
      </w:r>
      <w:r>
        <w:t>metric.</w:t>
      </w:r>
    </w:p>
    <w:p w:rsidR="00884A3F" w:rsidRDefault="00EF73AA">
      <w:pPr>
        <w:pStyle w:val="ListParagraph"/>
        <w:numPr>
          <w:ilvl w:val="2"/>
          <w:numId w:val="1"/>
        </w:numPr>
        <w:tabs>
          <w:tab w:val="left" w:pos="1181"/>
        </w:tabs>
      </w:pPr>
      <w:r>
        <w:t>Question from Anchor: Has anyone encountered any problems/issues with the</w:t>
      </w:r>
      <w:r>
        <w:rPr>
          <w:spacing w:val="-26"/>
        </w:rPr>
        <w:t xml:space="preserve"> </w:t>
      </w:r>
      <w:r>
        <w:t>templates?</w:t>
      </w:r>
    </w:p>
    <w:p w:rsidR="00884A3F" w:rsidRDefault="00EF73AA">
      <w:pPr>
        <w:pStyle w:val="ListParagraph"/>
        <w:numPr>
          <w:ilvl w:val="3"/>
          <w:numId w:val="1"/>
        </w:numPr>
        <w:tabs>
          <w:tab w:val="left" w:pos="1812"/>
        </w:tabs>
        <w:ind w:right="115"/>
        <w:jc w:val="both"/>
      </w:pPr>
      <w:r>
        <w:t>Answer: For providers that may be in multiple regions (e.g., CMHCs), the sustainability template may not include all MCO</w:t>
      </w:r>
      <w:r>
        <w:t>’s that are in your organization’s coverage area, so those MCOs will have to be written out in list format in the narrative box. Instructed from</w:t>
      </w:r>
      <w:r>
        <w:rPr>
          <w:spacing w:val="-26"/>
        </w:rPr>
        <w:t xml:space="preserve"> </w:t>
      </w:r>
      <w:r>
        <w:t>HHSC.</w:t>
      </w:r>
    </w:p>
    <w:p w:rsidR="00884A3F" w:rsidRDefault="00EF73AA">
      <w:pPr>
        <w:pStyle w:val="ListParagraph"/>
        <w:numPr>
          <w:ilvl w:val="2"/>
          <w:numId w:val="1"/>
        </w:numPr>
        <w:tabs>
          <w:tab w:val="left" w:pos="1181"/>
        </w:tabs>
        <w:spacing w:line="268" w:lineRule="exact"/>
      </w:pPr>
      <w:r>
        <w:t>Question: Has the new Cat 3 template been released</w:t>
      </w:r>
      <w:r>
        <w:rPr>
          <w:spacing w:val="-16"/>
        </w:rPr>
        <w:t xml:space="preserve"> </w:t>
      </w:r>
      <w:r>
        <w:t>yet?</w:t>
      </w:r>
    </w:p>
    <w:p w:rsidR="00884A3F" w:rsidRDefault="00EF73AA">
      <w:pPr>
        <w:pStyle w:val="ListParagraph"/>
        <w:numPr>
          <w:ilvl w:val="3"/>
          <w:numId w:val="1"/>
        </w:numPr>
        <w:tabs>
          <w:tab w:val="left" w:pos="1812"/>
        </w:tabs>
        <w:ind w:right="117"/>
        <w:jc w:val="both"/>
      </w:pPr>
      <w:r>
        <w:t>Answer:</w:t>
      </w:r>
      <w:r>
        <w:rPr>
          <w:spacing w:val="-3"/>
        </w:rPr>
        <w:t xml:space="preserve"> </w:t>
      </w:r>
      <w:r>
        <w:t>Anchors</w:t>
      </w:r>
      <w:r>
        <w:rPr>
          <w:spacing w:val="-1"/>
        </w:rPr>
        <w:t xml:space="preserve"> </w:t>
      </w:r>
      <w:r>
        <w:t>have</w:t>
      </w:r>
      <w:r>
        <w:rPr>
          <w:spacing w:val="-3"/>
        </w:rPr>
        <w:t xml:space="preserve"> </w:t>
      </w:r>
      <w:r>
        <w:t>not</w:t>
      </w:r>
      <w:r>
        <w:rPr>
          <w:spacing w:val="-3"/>
        </w:rPr>
        <w:t xml:space="preserve"> </w:t>
      </w:r>
      <w:r>
        <w:t>been</w:t>
      </w:r>
      <w:r>
        <w:rPr>
          <w:spacing w:val="-2"/>
        </w:rPr>
        <w:t xml:space="preserve"> </w:t>
      </w:r>
      <w:r>
        <w:t>notified</w:t>
      </w:r>
      <w:r>
        <w:rPr>
          <w:spacing w:val="-4"/>
        </w:rPr>
        <w:t xml:space="preserve"> </w:t>
      </w:r>
      <w:r>
        <w:t>from</w:t>
      </w:r>
      <w:r>
        <w:rPr>
          <w:spacing w:val="-3"/>
        </w:rPr>
        <w:t xml:space="preserve"> </w:t>
      </w:r>
      <w:r>
        <w:t>HHSC</w:t>
      </w:r>
      <w:r>
        <w:rPr>
          <w:spacing w:val="-4"/>
        </w:rPr>
        <w:t xml:space="preserve"> </w:t>
      </w:r>
      <w:r>
        <w:t>yet,</w:t>
      </w:r>
      <w:r>
        <w:rPr>
          <w:spacing w:val="-3"/>
        </w:rPr>
        <w:t xml:space="preserve"> </w:t>
      </w:r>
      <w:r>
        <w:t>and</w:t>
      </w:r>
      <w:r>
        <w:rPr>
          <w:spacing w:val="-2"/>
        </w:rPr>
        <w:t xml:space="preserve"> </w:t>
      </w:r>
      <w:r>
        <w:t>it</w:t>
      </w:r>
      <w:r>
        <w:rPr>
          <w:spacing w:val="-3"/>
        </w:rPr>
        <w:t xml:space="preserve"> </w:t>
      </w:r>
      <w:r>
        <w:t>wasn’t</w:t>
      </w:r>
      <w:r>
        <w:rPr>
          <w:spacing w:val="-1"/>
        </w:rPr>
        <w:t xml:space="preserve"> </w:t>
      </w:r>
      <w:r>
        <w:t>posted</w:t>
      </w:r>
      <w:r>
        <w:rPr>
          <w:spacing w:val="-1"/>
        </w:rPr>
        <w:t xml:space="preserve"> </w:t>
      </w:r>
      <w:r>
        <w:t>in</w:t>
      </w:r>
      <w:r>
        <w:rPr>
          <w:spacing w:val="-5"/>
        </w:rPr>
        <w:t xml:space="preserve"> </w:t>
      </w:r>
      <w:r>
        <w:t>the</w:t>
      </w:r>
      <w:r>
        <w:rPr>
          <w:spacing w:val="-3"/>
        </w:rPr>
        <w:t xml:space="preserve"> </w:t>
      </w:r>
      <w:r>
        <w:t>online</w:t>
      </w:r>
      <w:r>
        <w:rPr>
          <w:spacing w:val="-1"/>
        </w:rPr>
        <w:t xml:space="preserve"> </w:t>
      </w:r>
      <w:r>
        <w:t>system</w:t>
      </w:r>
      <w:r>
        <w:rPr>
          <w:spacing w:val="-2"/>
        </w:rPr>
        <w:t xml:space="preserve"> </w:t>
      </w:r>
      <w:r>
        <w:t>this morning. We are emailing HHSC today and we will follow-up on the Cat 3</w:t>
      </w:r>
      <w:r>
        <w:rPr>
          <w:spacing w:val="-21"/>
        </w:rPr>
        <w:t xml:space="preserve"> </w:t>
      </w:r>
      <w:r>
        <w:t>template.</w:t>
      </w:r>
    </w:p>
    <w:p w:rsidR="00884A3F" w:rsidRDefault="00EF73AA">
      <w:pPr>
        <w:pStyle w:val="ListParagraph"/>
        <w:numPr>
          <w:ilvl w:val="2"/>
          <w:numId w:val="1"/>
        </w:numPr>
        <w:tabs>
          <w:tab w:val="left" w:pos="1181"/>
        </w:tabs>
        <w:spacing w:before="1"/>
      </w:pPr>
      <w:r>
        <w:t>Question: What about the updated sustainability</w:t>
      </w:r>
      <w:r>
        <w:rPr>
          <w:spacing w:val="-16"/>
        </w:rPr>
        <w:t xml:space="preserve"> </w:t>
      </w:r>
      <w:r>
        <w:t>template?</w:t>
      </w:r>
    </w:p>
    <w:p w:rsidR="00884A3F" w:rsidRDefault="00EF73AA">
      <w:pPr>
        <w:pStyle w:val="ListParagraph"/>
        <w:numPr>
          <w:ilvl w:val="3"/>
          <w:numId w:val="1"/>
        </w:numPr>
        <w:tabs>
          <w:tab w:val="left" w:pos="1812"/>
        </w:tabs>
        <w:ind w:right="116"/>
        <w:jc w:val="both"/>
      </w:pPr>
      <w:r>
        <w:t>Answer:</w:t>
      </w:r>
      <w:r>
        <w:rPr>
          <w:spacing w:val="26"/>
        </w:rPr>
        <w:t xml:space="preserve"> </w:t>
      </w:r>
      <w:r>
        <w:t>If</w:t>
      </w:r>
      <w:r>
        <w:rPr>
          <w:spacing w:val="-13"/>
        </w:rPr>
        <w:t xml:space="preserve"> </w:t>
      </w:r>
      <w:r>
        <w:t>there</w:t>
      </w:r>
      <w:r>
        <w:rPr>
          <w:spacing w:val="-12"/>
        </w:rPr>
        <w:t xml:space="preserve"> </w:t>
      </w:r>
      <w:r>
        <w:t>haven’t</w:t>
      </w:r>
      <w:r>
        <w:rPr>
          <w:spacing w:val="-12"/>
        </w:rPr>
        <w:t xml:space="preserve"> </w:t>
      </w:r>
      <w:r>
        <w:t>been</w:t>
      </w:r>
      <w:r>
        <w:rPr>
          <w:spacing w:val="-13"/>
        </w:rPr>
        <w:t xml:space="preserve"> </w:t>
      </w:r>
      <w:r>
        <w:t>issues</w:t>
      </w:r>
      <w:r>
        <w:rPr>
          <w:spacing w:val="-12"/>
        </w:rPr>
        <w:t xml:space="preserve"> </w:t>
      </w:r>
      <w:r>
        <w:t>entering</w:t>
      </w:r>
      <w:r>
        <w:rPr>
          <w:spacing w:val="-14"/>
        </w:rPr>
        <w:t xml:space="preserve"> </w:t>
      </w:r>
      <w:r>
        <w:t>information</w:t>
      </w:r>
      <w:r>
        <w:rPr>
          <w:spacing w:val="-13"/>
        </w:rPr>
        <w:t xml:space="preserve"> </w:t>
      </w:r>
      <w:r>
        <w:t>in</w:t>
      </w:r>
      <w:r>
        <w:rPr>
          <w:spacing w:val="-14"/>
        </w:rPr>
        <w:t xml:space="preserve"> </w:t>
      </w:r>
      <w:r>
        <w:t>the</w:t>
      </w:r>
      <w:r>
        <w:rPr>
          <w:spacing w:val="-13"/>
        </w:rPr>
        <w:t xml:space="preserve"> </w:t>
      </w:r>
      <w:r>
        <w:t>sustainability</w:t>
      </w:r>
      <w:r>
        <w:rPr>
          <w:spacing w:val="-12"/>
        </w:rPr>
        <w:t xml:space="preserve"> </w:t>
      </w:r>
      <w:r>
        <w:t>template</w:t>
      </w:r>
      <w:r>
        <w:rPr>
          <w:spacing w:val="-13"/>
        </w:rPr>
        <w:t xml:space="preserve"> </w:t>
      </w:r>
      <w:r>
        <w:t>you</w:t>
      </w:r>
      <w:r>
        <w:rPr>
          <w:spacing w:val="-13"/>
        </w:rPr>
        <w:t xml:space="preserve"> </w:t>
      </w:r>
      <w:r>
        <w:t>don’t</w:t>
      </w:r>
      <w:r>
        <w:rPr>
          <w:spacing w:val="-12"/>
        </w:rPr>
        <w:t xml:space="preserve"> </w:t>
      </w:r>
      <w:r>
        <w:t>have to use the new template. If it worked for you then you are</w:t>
      </w:r>
      <w:r>
        <w:rPr>
          <w:spacing w:val="-19"/>
        </w:rPr>
        <w:t xml:space="preserve"> </w:t>
      </w:r>
      <w:r>
        <w:t>ok.</w:t>
      </w:r>
    </w:p>
    <w:p w:rsidR="00884A3F" w:rsidRDefault="00EF73AA">
      <w:pPr>
        <w:pStyle w:val="ListParagraph"/>
        <w:numPr>
          <w:ilvl w:val="2"/>
          <w:numId w:val="1"/>
        </w:numPr>
        <w:tabs>
          <w:tab w:val="left" w:pos="1181"/>
        </w:tabs>
      </w:pPr>
      <w:r>
        <w:t>Question: I took all my templates from the online</w:t>
      </w:r>
      <w:r>
        <w:rPr>
          <w:spacing w:val="-19"/>
        </w:rPr>
        <w:t xml:space="preserve"> </w:t>
      </w:r>
      <w:r>
        <w:t>system?</w:t>
      </w:r>
    </w:p>
    <w:p w:rsidR="00884A3F" w:rsidRDefault="00EF73AA">
      <w:pPr>
        <w:pStyle w:val="ListParagraph"/>
        <w:numPr>
          <w:ilvl w:val="3"/>
          <w:numId w:val="1"/>
        </w:numPr>
        <w:tabs>
          <w:tab w:val="left" w:pos="1812"/>
        </w:tabs>
        <w:ind w:right="116"/>
        <w:jc w:val="both"/>
      </w:pPr>
      <w:r>
        <w:t>Answer: Yes. Providers should download and utilize documents and templates posted to the online reporting system’s bulletin board. On the Anchor call last Friday, we requested HHSC email Anchors when new information is posted so that we can share that with</w:t>
      </w:r>
      <w:r>
        <w:rPr>
          <w:spacing w:val="-20"/>
        </w:rPr>
        <w:t xml:space="preserve"> </w:t>
      </w:r>
      <w:r>
        <w:t>providers.</w:t>
      </w:r>
    </w:p>
    <w:p w:rsidR="00884A3F" w:rsidRDefault="00EF73AA">
      <w:pPr>
        <w:pStyle w:val="ListParagraph"/>
        <w:numPr>
          <w:ilvl w:val="2"/>
          <w:numId w:val="1"/>
        </w:numPr>
        <w:tabs>
          <w:tab w:val="left" w:pos="1181"/>
        </w:tabs>
      </w:pPr>
      <w:r>
        <w:t>Question from Anchor: Anyone encounter issues/questions about SA3</w:t>
      </w:r>
      <w:r>
        <w:rPr>
          <w:spacing w:val="-19"/>
        </w:rPr>
        <w:t xml:space="preserve"> </w:t>
      </w:r>
      <w:r>
        <w:t>coversheet?</w:t>
      </w:r>
    </w:p>
    <w:p w:rsidR="00884A3F" w:rsidRDefault="00EF73AA">
      <w:pPr>
        <w:pStyle w:val="ListParagraph"/>
        <w:numPr>
          <w:ilvl w:val="3"/>
          <w:numId w:val="1"/>
        </w:numPr>
        <w:tabs>
          <w:tab w:val="left" w:pos="1811"/>
          <w:tab w:val="left" w:pos="1812"/>
        </w:tabs>
        <w:spacing w:before="1"/>
      </w:pPr>
      <w:r>
        <w:t>Answer: It looks straight forward – no</w:t>
      </w:r>
      <w:r>
        <w:rPr>
          <w:spacing w:val="-13"/>
        </w:rPr>
        <w:t xml:space="preserve"> </w:t>
      </w:r>
      <w:r>
        <w:t>challenges.</w:t>
      </w:r>
    </w:p>
    <w:p w:rsidR="00884A3F" w:rsidRDefault="00884A3F">
      <w:pPr>
        <w:pStyle w:val="BodyText"/>
        <w:ind w:left="0" w:firstLine="0"/>
      </w:pPr>
    </w:p>
    <w:p w:rsidR="00884A3F" w:rsidRDefault="00EF73AA">
      <w:pPr>
        <w:pStyle w:val="Heading2"/>
        <w:numPr>
          <w:ilvl w:val="0"/>
          <w:numId w:val="1"/>
        </w:numPr>
        <w:tabs>
          <w:tab w:val="left" w:pos="820"/>
          <w:tab w:val="left" w:pos="821"/>
        </w:tabs>
        <w:ind w:left="820" w:hanging="720"/>
      </w:pPr>
      <w:r>
        <w:t>Upcoming Events &amp; Associated Due</w:t>
      </w:r>
      <w:r>
        <w:rPr>
          <w:spacing w:val="-17"/>
        </w:rPr>
        <w:t xml:space="preserve"> </w:t>
      </w:r>
      <w:r>
        <w:t>Dates</w:t>
      </w:r>
    </w:p>
    <w:p w:rsidR="00884A3F" w:rsidRDefault="00EF73AA">
      <w:pPr>
        <w:pStyle w:val="ListParagraph"/>
        <w:numPr>
          <w:ilvl w:val="1"/>
          <w:numId w:val="1"/>
        </w:numPr>
        <w:tabs>
          <w:tab w:val="left" w:pos="1181"/>
        </w:tabs>
        <w:spacing w:line="273" w:lineRule="auto"/>
        <w:ind w:left="1000" w:right="2465" w:firstLine="0"/>
      </w:pPr>
      <w:r>
        <w:t xml:space="preserve">Reporting Technical Assistance Calls with Anchor Teams: thru October 18-20, 2017 b. </w:t>
      </w:r>
      <w:r>
        <w:t>Last Day for Category 3 Questions to HHSC: October 20,</w:t>
      </w:r>
      <w:r>
        <w:rPr>
          <w:spacing w:val="-16"/>
        </w:rPr>
        <w:t xml:space="preserve"> </w:t>
      </w:r>
      <w:r>
        <w:t>2017</w:t>
      </w:r>
    </w:p>
    <w:p w:rsidR="00EF73AA" w:rsidRDefault="00EF73AA">
      <w:pPr>
        <w:pStyle w:val="BodyText"/>
        <w:spacing w:before="3" w:line="276" w:lineRule="auto"/>
        <w:ind w:left="1000" w:right="2802" w:firstLine="0"/>
      </w:pPr>
      <w:r>
        <w:t xml:space="preserve">c. Last Day for General Reporting Questions to HHSC: October 25, 2017 </w:t>
      </w:r>
    </w:p>
    <w:p w:rsidR="00884A3F" w:rsidRDefault="00EF73AA">
      <w:pPr>
        <w:pStyle w:val="BodyText"/>
        <w:spacing w:before="3" w:line="276" w:lineRule="auto"/>
        <w:ind w:left="1000" w:right="2802" w:firstLine="0"/>
      </w:pPr>
      <w:r>
        <w:t xml:space="preserve">d. </w:t>
      </w:r>
      <w:r>
        <w:t>October DY6 Reporting due to HHSC: Octobe</w:t>
      </w:r>
      <w:r>
        <w:t>r 31, 2017</w:t>
      </w:r>
    </w:p>
    <w:p w:rsidR="00884A3F" w:rsidRDefault="00884A3F">
      <w:pPr>
        <w:pStyle w:val="BodyText"/>
        <w:spacing w:before="10"/>
        <w:ind w:left="0" w:firstLine="0"/>
        <w:rPr>
          <w:sz w:val="21"/>
        </w:rPr>
      </w:pPr>
    </w:p>
    <w:p w:rsidR="00884A3F" w:rsidRDefault="00EF73AA">
      <w:pPr>
        <w:pStyle w:val="Heading2"/>
        <w:numPr>
          <w:ilvl w:val="0"/>
          <w:numId w:val="1"/>
        </w:numPr>
        <w:tabs>
          <w:tab w:val="left" w:pos="820"/>
          <w:tab w:val="left" w:pos="821"/>
        </w:tabs>
        <w:ind w:left="820" w:hanging="720"/>
      </w:pPr>
      <w:r>
        <w:t>Next Steps &amp;</w:t>
      </w:r>
      <w:r>
        <w:rPr>
          <w:spacing w:val="-7"/>
        </w:rPr>
        <w:t xml:space="preserve"> </w:t>
      </w:r>
      <w:r>
        <w:t>Adjourn</w:t>
      </w:r>
      <w:bookmarkStart w:id="0" w:name="_GoBack"/>
      <w:bookmarkEnd w:id="0"/>
    </w:p>
    <w:sectPr w:rsidR="00884A3F">
      <w:pgSz w:w="12240" w:h="15840"/>
      <w:pgMar w:top="640" w:right="60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CA05DEC"/>
    <w:multiLevelType w:val="hybridMultilevel"/>
    <w:tmpl w:val="D278C934"/>
    <w:lvl w:ilvl="0" w:tplc="55F88192">
      <w:start w:val="1"/>
      <w:numFmt w:val="upperRoman"/>
      <w:lvlText w:val="%1."/>
      <w:lvlJc w:val="left"/>
      <w:pPr>
        <w:ind w:left="640" w:hanging="541"/>
        <w:jc w:val="left"/>
      </w:pPr>
      <w:rPr>
        <w:rFonts w:ascii="Calibri" w:eastAsia="Calibri" w:hAnsi="Calibri" w:cs="Calibri" w:hint="default"/>
        <w:b/>
        <w:bCs/>
        <w:spacing w:val="0"/>
        <w:w w:val="100"/>
        <w:sz w:val="22"/>
        <w:szCs w:val="22"/>
      </w:rPr>
    </w:lvl>
    <w:lvl w:ilvl="1" w:tplc="393CFAB4">
      <w:start w:val="1"/>
      <w:numFmt w:val="lowerLetter"/>
      <w:lvlText w:val="%2."/>
      <w:lvlJc w:val="left"/>
      <w:pPr>
        <w:ind w:left="911" w:hanging="272"/>
        <w:jc w:val="left"/>
      </w:pPr>
      <w:rPr>
        <w:rFonts w:ascii="Calibri" w:eastAsia="Calibri" w:hAnsi="Calibri" w:cs="Calibri" w:hint="default"/>
        <w:spacing w:val="-1"/>
        <w:w w:val="100"/>
        <w:sz w:val="22"/>
        <w:szCs w:val="22"/>
      </w:rPr>
    </w:lvl>
    <w:lvl w:ilvl="2" w:tplc="4EF43F6A">
      <w:numFmt w:val="bullet"/>
      <w:lvlText w:val=""/>
      <w:lvlJc w:val="left"/>
      <w:pPr>
        <w:ind w:left="1180" w:hanging="180"/>
      </w:pPr>
      <w:rPr>
        <w:rFonts w:ascii="Wingdings" w:eastAsia="Wingdings" w:hAnsi="Wingdings" w:cs="Wingdings" w:hint="default"/>
        <w:w w:val="100"/>
        <w:sz w:val="22"/>
        <w:szCs w:val="22"/>
      </w:rPr>
    </w:lvl>
    <w:lvl w:ilvl="3" w:tplc="3C04E42E">
      <w:numFmt w:val="bullet"/>
      <w:lvlText w:val=""/>
      <w:lvlJc w:val="left"/>
      <w:pPr>
        <w:ind w:left="1811" w:hanging="360"/>
      </w:pPr>
      <w:rPr>
        <w:rFonts w:ascii="Symbol" w:eastAsia="Symbol" w:hAnsi="Symbol" w:cs="Symbol" w:hint="default"/>
        <w:w w:val="100"/>
        <w:sz w:val="22"/>
        <w:szCs w:val="22"/>
      </w:rPr>
    </w:lvl>
    <w:lvl w:ilvl="4" w:tplc="4E9AF4DA">
      <w:numFmt w:val="bullet"/>
      <w:lvlText w:val=""/>
      <w:lvlJc w:val="left"/>
      <w:pPr>
        <w:ind w:left="2260" w:hanging="360"/>
      </w:pPr>
      <w:rPr>
        <w:rFonts w:ascii="Wingdings" w:eastAsia="Wingdings" w:hAnsi="Wingdings" w:cs="Wingdings" w:hint="default"/>
        <w:w w:val="100"/>
        <w:sz w:val="22"/>
        <w:szCs w:val="22"/>
      </w:rPr>
    </w:lvl>
    <w:lvl w:ilvl="5" w:tplc="F0DA8574">
      <w:numFmt w:val="bullet"/>
      <w:lvlText w:val="o"/>
      <w:lvlJc w:val="left"/>
      <w:pPr>
        <w:ind w:left="2711" w:hanging="180"/>
      </w:pPr>
      <w:rPr>
        <w:rFonts w:ascii="Courier New" w:eastAsia="Courier New" w:hAnsi="Courier New" w:cs="Courier New" w:hint="default"/>
        <w:w w:val="100"/>
        <w:sz w:val="22"/>
        <w:szCs w:val="22"/>
      </w:rPr>
    </w:lvl>
    <w:lvl w:ilvl="6" w:tplc="2A4AB94A">
      <w:numFmt w:val="bullet"/>
      <w:lvlText w:val="•"/>
      <w:lvlJc w:val="left"/>
      <w:pPr>
        <w:ind w:left="2720" w:hanging="180"/>
      </w:pPr>
      <w:rPr>
        <w:rFonts w:hint="default"/>
      </w:rPr>
    </w:lvl>
    <w:lvl w:ilvl="7" w:tplc="D08C1D78">
      <w:numFmt w:val="bullet"/>
      <w:lvlText w:val="•"/>
      <w:lvlJc w:val="left"/>
      <w:pPr>
        <w:ind w:left="4795" w:hanging="180"/>
      </w:pPr>
      <w:rPr>
        <w:rFonts w:hint="default"/>
      </w:rPr>
    </w:lvl>
    <w:lvl w:ilvl="8" w:tplc="EE500E22">
      <w:numFmt w:val="bullet"/>
      <w:lvlText w:val="•"/>
      <w:lvlJc w:val="left"/>
      <w:pPr>
        <w:ind w:left="6870" w:hanging="18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2"/>
  </w:compat>
  <w:rsids>
    <w:rsidRoot w:val="00884A3F"/>
    <w:rsid w:val="00884A3F"/>
    <w:rsid w:val="00EF73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5A15BF8"/>
  <w15:docId w15:val="{F5F70874-7929-4ABB-9177-7C04E9EB7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ind w:left="2316" w:right="2077"/>
      <w:jc w:val="center"/>
      <w:outlineLvl w:val="0"/>
    </w:pPr>
    <w:rPr>
      <w:b/>
      <w:bCs/>
      <w:sz w:val="36"/>
      <w:szCs w:val="36"/>
    </w:rPr>
  </w:style>
  <w:style w:type="paragraph" w:styleId="Heading2">
    <w:name w:val="heading 2"/>
    <w:basedOn w:val="Normal"/>
    <w:uiPriority w:val="1"/>
    <w:qFormat/>
    <w:pPr>
      <w:ind w:left="1811" w:hanging="36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811" w:hanging="360"/>
    </w:pPr>
  </w:style>
  <w:style w:type="paragraph" w:styleId="ListParagraph">
    <w:name w:val="List Paragraph"/>
    <w:basedOn w:val="Normal"/>
    <w:uiPriority w:val="1"/>
    <w:qFormat/>
    <w:pPr>
      <w:ind w:left="1811" w:hanging="360"/>
    </w:pPr>
  </w:style>
  <w:style w:type="paragraph" w:customStyle="1" w:styleId="TableParagraph">
    <w:name w:val="Table Paragraph"/>
    <w:basedOn w:val="Normal"/>
    <w:uiPriority w:val="1"/>
    <w:qFormat/>
    <w:pPr>
      <w:spacing w:line="253" w:lineRule="exact"/>
      <w:ind w:left="10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1110</Words>
  <Characters>6329</Characters>
  <Application>Microsoft Office Word</Application>
  <DocSecurity>0</DocSecurity>
  <Lines>52</Lines>
  <Paragraphs>14</Paragraphs>
  <ScaleCrop>false</ScaleCrop>
  <Company/>
  <LinksUpToDate>false</LinksUpToDate>
  <CharactersWithSpaces>7425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logalbo</dc:creator>
  <cp:lastModifiedBy>Jiles, Shawna R.</cp:lastModifiedBy>
  <cp:revision>2</cp:revision>
  <dcterms:created xsi:type="dcterms:W3CDTF">2017-10-31T09:18:00Z</dcterms:created>
  <dcterms:modified xsi:type="dcterms:W3CDTF">2017-10-31T14:18:00Z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2017-10-17T00:00:00Z</vt:filetime>
  </property>
  <property fmtid="{D5CDD505-2E9C-101B-9397-08002B2CF9AE}" pid="3" name="Creator">
    <vt:lpwstr>Microsoft® Word 2013</vt:lpwstr>
  </property>
  <property fmtid="{D5CDD505-2E9C-101B-9397-08002B2CF9AE}" pid="4" name="LastSaved">
    <vt:filetime>2017-10-31T00:00:00Z</vt:filetime>
  </property>
</Properties>
</file>